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F6C6D" w14:textId="77777777" w:rsidR="004C1092" w:rsidRPr="00A2114C" w:rsidRDefault="004C1092" w:rsidP="0064057C">
      <w:pPr>
        <w:pStyle w:val="Title"/>
        <w:tabs>
          <w:tab w:val="left" w:pos="10348"/>
        </w:tabs>
        <w:spacing w:line="276" w:lineRule="auto"/>
        <w:jc w:val="left"/>
        <w:rPr>
          <w:sz w:val="24"/>
          <w:szCs w:val="24"/>
        </w:rPr>
      </w:pPr>
    </w:p>
    <w:p w14:paraId="39FCDFA5" w14:textId="250346D5" w:rsidR="0064777F" w:rsidRPr="00A2114C" w:rsidRDefault="0064777F" w:rsidP="0064057C">
      <w:pPr>
        <w:pStyle w:val="Title"/>
        <w:spacing w:line="276" w:lineRule="auto"/>
        <w:rPr>
          <w:sz w:val="24"/>
          <w:szCs w:val="24"/>
        </w:rPr>
      </w:pPr>
      <w:r w:rsidRPr="00A2114C">
        <w:rPr>
          <w:sz w:val="24"/>
          <w:szCs w:val="24"/>
        </w:rPr>
        <w:t>NOTĂ DE FUNDAMENTARE</w:t>
      </w:r>
    </w:p>
    <w:p w14:paraId="5D18789B" w14:textId="77777777" w:rsidR="00490610" w:rsidRPr="00A2114C" w:rsidRDefault="00490610" w:rsidP="0064057C">
      <w:pPr>
        <w:pStyle w:val="Title"/>
        <w:spacing w:line="276" w:lineRule="auto"/>
        <w:ind w:firstLine="720"/>
        <w:jc w:val="left"/>
        <w:rPr>
          <w:sz w:val="24"/>
          <w:szCs w:val="24"/>
        </w:rPr>
      </w:pPr>
    </w:p>
    <w:p w14:paraId="0448C4F0" w14:textId="4AC4059F" w:rsidR="00223491" w:rsidRPr="00A2114C" w:rsidRDefault="00223491" w:rsidP="0064057C">
      <w:pPr>
        <w:pStyle w:val="Title"/>
        <w:spacing w:line="276" w:lineRule="auto"/>
        <w:ind w:firstLine="720"/>
        <w:jc w:val="left"/>
        <w:rPr>
          <w:sz w:val="24"/>
          <w:szCs w:val="24"/>
        </w:rPr>
      </w:pPr>
      <w:r w:rsidRPr="00A2114C">
        <w:rPr>
          <w:sz w:val="24"/>
          <w:szCs w:val="24"/>
        </w:rPr>
        <w:t>Secțiunea 1</w:t>
      </w:r>
    </w:p>
    <w:p w14:paraId="78C75447" w14:textId="04BD6EFC" w:rsidR="00223491" w:rsidRDefault="00223491" w:rsidP="0064057C">
      <w:pPr>
        <w:pStyle w:val="Title"/>
        <w:spacing w:line="276" w:lineRule="auto"/>
        <w:ind w:firstLine="720"/>
        <w:jc w:val="left"/>
        <w:rPr>
          <w:sz w:val="24"/>
          <w:szCs w:val="24"/>
        </w:rPr>
      </w:pPr>
      <w:r w:rsidRPr="00A2114C">
        <w:rPr>
          <w:sz w:val="24"/>
          <w:szCs w:val="24"/>
        </w:rPr>
        <w:t>Titlul proiectului de act normativ</w:t>
      </w:r>
    </w:p>
    <w:p w14:paraId="725774E3" w14:textId="77777777" w:rsidR="0000121D" w:rsidRPr="00A2114C" w:rsidRDefault="0000121D" w:rsidP="0064057C">
      <w:pPr>
        <w:pStyle w:val="Title"/>
        <w:spacing w:line="276" w:lineRule="auto"/>
        <w:ind w:firstLine="720"/>
        <w:jc w:val="left"/>
        <w:rPr>
          <w:sz w:val="24"/>
          <w:szCs w:val="2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B2AD7" w:rsidRPr="00A2114C" w14:paraId="117C71DD" w14:textId="77777777" w:rsidTr="00223491">
        <w:tc>
          <w:tcPr>
            <w:tcW w:w="10490" w:type="dxa"/>
          </w:tcPr>
          <w:p w14:paraId="47789D8E" w14:textId="15990367" w:rsidR="00884CA5" w:rsidRPr="00A2114C" w:rsidRDefault="00A45905" w:rsidP="0064057C">
            <w:pPr>
              <w:spacing w:line="276" w:lineRule="auto"/>
              <w:jc w:val="center"/>
              <w:rPr>
                <w:b/>
                <w:bCs/>
              </w:rPr>
            </w:pPr>
            <w:r w:rsidRPr="00A2114C">
              <w:rPr>
                <w:b/>
                <w:bCs/>
              </w:rPr>
              <w:t xml:space="preserve">ORDONANȚĂ DE URGENȚĂ </w:t>
            </w:r>
          </w:p>
          <w:p w14:paraId="231EAE0E" w14:textId="72F30570" w:rsidR="00A2114C" w:rsidRPr="00A2114C" w:rsidRDefault="00A2114C" w:rsidP="0064057C">
            <w:pPr>
              <w:spacing w:line="276" w:lineRule="auto"/>
              <w:jc w:val="center"/>
              <w:rPr>
                <w:b/>
              </w:rPr>
            </w:pPr>
            <w:r w:rsidRPr="00A2114C">
              <w:rPr>
                <w:b/>
                <w:bCs/>
              </w:rPr>
              <w:t xml:space="preserve">pentru modificarea și completarea </w:t>
            </w:r>
            <w:r w:rsidRPr="00A2114C">
              <w:rPr>
                <w:rStyle w:val="sden1"/>
                <w:rFonts w:ascii="Times New Roman" w:hAnsi="Times New Roman"/>
                <w:color w:val="auto"/>
                <w:sz w:val="24"/>
                <w:szCs w:val="24"/>
                <w:specVanish w:val="0"/>
              </w:rPr>
              <w:t xml:space="preserve">Ordonanţei de </w:t>
            </w:r>
            <w:r w:rsidR="00157CFC">
              <w:rPr>
                <w:rStyle w:val="sden1"/>
                <w:rFonts w:ascii="Times New Roman" w:hAnsi="Times New Roman"/>
                <w:color w:val="auto"/>
                <w:sz w:val="24"/>
                <w:szCs w:val="24"/>
                <w:specVanish w:val="0"/>
              </w:rPr>
              <w:t>u</w:t>
            </w:r>
            <w:r w:rsidRPr="00A2114C">
              <w:rPr>
                <w:rStyle w:val="sden1"/>
                <w:rFonts w:ascii="Times New Roman" w:hAnsi="Times New Roman"/>
                <w:color w:val="auto"/>
                <w:sz w:val="24"/>
                <w:szCs w:val="24"/>
                <w:specVanish w:val="0"/>
              </w:rPr>
              <w:t xml:space="preserve">rgenţă a Guvernului nr. 124/2021 </w:t>
            </w:r>
            <w:r w:rsidRPr="00A2114C">
              <w:rPr>
                <w:b/>
              </w:rPr>
              <w:t xml:space="preserve">privind stabilirea cadrului instituţional şi financiar pentru gestionarea fondurilor europene alocate României prin Mecanismul de redresare şi rezilienţă, precum şi pentru modificarea şi completarea </w:t>
            </w:r>
            <w:r w:rsidRPr="00A2114C">
              <w:rPr>
                <w:b/>
                <w:shd w:val="clear" w:color="auto" w:fill="FFFFFF"/>
              </w:rPr>
              <w:t>Ordonanţei de urgenţă a Guvernului nr. 155/2020</w:t>
            </w:r>
            <w:r w:rsidRPr="00A2114C">
              <w:rPr>
                <w:b/>
              </w:rPr>
              <w:t xml:space="preserve"> privind unele măsuri pentru elaborarea Planului naţional de redresare şi rezilienţă necesar României pentru accesarea de fonduri externe rambursabile şi nerambursabile în cadrul Mecanismului de redresare şi rezilienţă</w:t>
            </w:r>
          </w:p>
          <w:p w14:paraId="338F09EC" w14:textId="6868C3C6" w:rsidR="00670C79" w:rsidRPr="00A2114C" w:rsidRDefault="00670C79" w:rsidP="0064057C">
            <w:pPr>
              <w:widowControl w:val="0"/>
              <w:spacing w:line="276" w:lineRule="auto"/>
              <w:rPr>
                <w:b/>
                <w:lang w:eastAsia="ro-RO"/>
              </w:rPr>
            </w:pPr>
          </w:p>
        </w:tc>
      </w:tr>
    </w:tbl>
    <w:p w14:paraId="04898D4F" w14:textId="77777777" w:rsidR="0000121D" w:rsidRDefault="0000121D" w:rsidP="0064057C">
      <w:pPr>
        <w:spacing w:line="276" w:lineRule="auto"/>
        <w:ind w:firstLine="720"/>
        <w:jc w:val="both"/>
        <w:rPr>
          <w:b/>
          <w:lang w:eastAsia="ro-RO"/>
        </w:rPr>
      </w:pPr>
    </w:p>
    <w:p w14:paraId="33C1CD30" w14:textId="145B1035" w:rsidR="00223491" w:rsidRPr="00A2114C" w:rsidRDefault="00C5468F" w:rsidP="0064057C">
      <w:pPr>
        <w:spacing w:line="276" w:lineRule="auto"/>
        <w:ind w:firstLine="720"/>
        <w:jc w:val="both"/>
        <w:rPr>
          <w:b/>
          <w:lang w:eastAsia="ro-RO"/>
        </w:rPr>
      </w:pPr>
      <w:r w:rsidRPr="00A2114C">
        <w:rPr>
          <w:b/>
          <w:lang w:eastAsia="ro-RO"/>
        </w:rPr>
        <w:t>Secțiunea</w:t>
      </w:r>
      <w:r w:rsidR="00670C79" w:rsidRPr="00A2114C">
        <w:rPr>
          <w:b/>
          <w:lang w:eastAsia="ro-RO"/>
        </w:rPr>
        <w:t xml:space="preserve"> a 2-a  </w:t>
      </w:r>
    </w:p>
    <w:p w14:paraId="23181ACA" w14:textId="3F9229C2" w:rsidR="00CB78C4" w:rsidRDefault="00670C79" w:rsidP="0064057C">
      <w:pPr>
        <w:spacing w:line="276" w:lineRule="auto"/>
        <w:ind w:firstLine="720"/>
        <w:jc w:val="both"/>
        <w:rPr>
          <w:b/>
          <w:lang w:eastAsia="ro-RO"/>
        </w:rPr>
      </w:pPr>
      <w:r w:rsidRPr="00A2114C">
        <w:rPr>
          <w:b/>
          <w:lang w:eastAsia="ro-RO"/>
        </w:rPr>
        <w:t>Motivul emiterii actului normativ</w:t>
      </w:r>
      <w:r w:rsidR="0066428B" w:rsidRPr="00A2114C">
        <w:rPr>
          <w:b/>
          <w:lang w:eastAsia="ro-RO"/>
        </w:rPr>
        <w:t xml:space="preserve"> </w:t>
      </w:r>
    </w:p>
    <w:p w14:paraId="6558C5B3" w14:textId="77777777" w:rsidR="0000121D" w:rsidRPr="00A2114C" w:rsidRDefault="0000121D" w:rsidP="0064057C">
      <w:pPr>
        <w:spacing w:line="276" w:lineRule="auto"/>
        <w:ind w:firstLine="720"/>
        <w:jc w:val="both"/>
        <w:rPr>
          <w:b/>
          <w:lang w:eastAsia="ro-RO"/>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B2AD7" w:rsidRPr="00A2114C" w14:paraId="47D7FD1D" w14:textId="77777777" w:rsidTr="009C70FA">
        <w:trPr>
          <w:trHeight w:val="841"/>
        </w:trPr>
        <w:tc>
          <w:tcPr>
            <w:tcW w:w="10490" w:type="dxa"/>
          </w:tcPr>
          <w:p w14:paraId="083EB0F1" w14:textId="77777777" w:rsidR="008441CD" w:rsidRPr="00A2114C" w:rsidRDefault="00223491" w:rsidP="0064057C">
            <w:pPr>
              <w:autoSpaceDE w:val="0"/>
              <w:autoSpaceDN w:val="0"/>
              <w:adjustRightInd w:val="0"/>
              <w:spacing w:line="276" w:lineRule="auto"/>
              <w:jc w:val="both"/>
              <w:rPr>
                <w:lang w:eastAsia="ro-RO"/>
              </w:rPr>
            </w:pPr>
            <w:r w:rsidRPr="00A2114C">
              <w:rPr>
                <w:b/>
                <w:lang w:eastAsia="ro-RO"/>
              </w:rPr>
              <w:t>2.1 Sursa proiectului de act normativ</w:t>
            </w:r>
            <w:r w:rsidRPr="00A2114C">
              <w:rPr>
                <w:lang w:eastAsia="ro-RO"/>
              </w:rPr>
              <w:t xml:space="preserve"> </w:t>
            </w:r>
          </w:p>
          <w:p w14:paraId="65421770" w14:textId="77777777" w:rsidR="006700D8" w:rsidRPr="00A2114C" w:rsidRDefault="00FF7D28" w:rsidP="0064057C">
            <w:pPr>
              <w:pStyle w:val="Default"/>
              <w:numPr>
                <w:ilvl w:val="0"/>
                <w:numId w:val="34"/>
              </w:numPr>
              <w:spacing w:line="276" w:lineRule="auto"/>
              <w:ind w:left="1434" w:hanging="357"/>
              <w:jc w:val="both"/>
              <w:rPr>
                <w:rStyle w:val="spar"/>
                <w:rFonts w:ascii="Times New Roman" w:hAnsi="Times New Roman" w:cs="Times New Roman"/>
                <w:color w:val="auto"/>
                <w:lang w:val="ro-RO"/>
              </w:rPr>
            </w:pPr>
            <w:r w:rsidRPr="00A2114C">
              <w:rPr>
                <w:lang w:val="ro-RO"/>
              </w:rPr>
              <w:t xml:space="preserve">Regulamentul (UE) nr. 2021/241 al Parlamentului European și al Consiliului </w:t>
            </w:r>
            <w:r w:rsidRPr="00A2114C">
              <w:rPr>
                <w:bCs/>
                <w:iCs/>
                <w:lang w:val="ro-RO"/>
              </w:rPr>
              <w:t xml:space="preserve">din 12 februarie 2021 </w:t>
            </w:r>
            <w:r w:rsidRPr="00A2114C">
              <w:rPr>
                <w:bCs/>
                <w:lang w:val="ro-RO"/>
              </w:rPr>
              <w:t>de instituire a Mecanismului de redresare și reziliență,</w:t>
            </w:r>
            <w:r w:rsidRPr="00A2114C">
              <w:rPr>
                <w:lang w:val="ro-RO"/>
              </w:rPr>
              <w:t xml:space="preserve"> </w:t>
            </w:r>
            <w:r w:rsidRPr="00A2114C">
              <w:rPr>
                <w:rStyle w:val="spar"/>
                <w:rFonts w:ascii="Times New Roman" w:hAnsi="Times New Roman" w:cs="Times New Roman"/>
                <w:lang w:val="ro-RO"/>
              </w:rPr>
              <w:t xml:space="preserve">modificat prin </w:t>
            </w:r>
            <w:r w:rsidRPr="00A2114C">
              <w:rPr>
                <w:rFonts w:ascii="Times New Roman" w:hAnsi="Times New Roman" w:cs="Times New Roman"/>
                <w:bCs/>
                <w:lang w:val="ro-RO"/>
              </w:rPr>
              <w:t>Regulamentul (UE) 2023/435 al Parlamentului European și al Consiliului nr. 2023/435 din 27 februarie 2023 de modificare a Regulamentului (UE) 2021/241 în ceea ce privește capitolele privind REPowerEU din planurile de redresare și reziliență și de modificare a Regulamentelor (UE) nr. 1303/2013, (UE) 2021/1060 și (UE) 2021/1755 și a Directivei 2003/87/CE;</w:t>
            </w:r>
            <w:r w:rsidRPr="00A2114C">
              <w:rPr>
                <w:rStyle w:val="spar"/>
                <w:rFonts w:ascii="Times New Roman" w:hAnsi="Times New Roman" w:cs="Times New Roman"/>
                <w:lang w:val="ro-RO"/>
              </w:rPr>
              <w:t xml:space="preserve"> </w:t>
            </w:r>
          </w:p>
          <w:p w14:paraId="6CF82650" w14:textId="7B3CF724" w:rsidR="006700D8" w:rsidRPr="00A2114C" w:rsidRDefault="00000000" w:rsidP="0064057C">
            <w:pPr>
              <w:pStyle w:val="Default"/>
              <w:numPr>
                <w:ilvl w:val="0"/>
                <w:numId w:val="34"/>
              </w:numPr>
              <w:spacing w:line="276" w:lineRule="auto"/>
              <w:ind w:left="1434" w:hanging="357"/>
              <w:jc w:val="both"/>
              <w:rPr>
                <w:rStyle w:val="spar"/>
                <w:rFonts w:ascii="Times New Roman" w:hAnsi="Times New Roman" w:cs="Times New Roman"/>
                <w:lang w:val="ro-RO"/>
              </w:rPr>
            </w:pPr>
            <w:hyperlink r:id="rId8" w:anchor="A0" w:tgtFrame="_blank" w:history="1">
              <w:r w:rsidR="006700D8" w:rsidRPr="00A2114C">
                <w:rPr>
                  <w:rStyle w:val="Hyperlink"/>
                  <w:rFonts w:ascii="Times New Roman" w:hAnsi="Times New Roman" w:cs="Times New Roman"/>
                  <w:color w:val="auto"/>
                  <w:u w:val="none"/>
                  <w:lang w:val="ro-RO"/>
                </w:rPr>
                <w:t>Regulamentul (UE, Euratom) 2018/1.046</w:t>
              </w:r>
            </w:hyperlink>
            <w:r w:rsidR="006700D8" w:rsidRPr="00A2114C">
              <w:rPr>
                <w:rStyle w:val="spar"/>
                <w:rFonts w:ascii="Times New Roman" w:hAnsi="Times New Roman" w:cs="Times New Roman"/>
                <w:lang w:val="ro-RO"/>
              </w:rPr>
              <w:t xml:space="preserve"> al Parlamentului European şi al Consiliului din 18 iulie 2018 privind normele financiare aplicabile bugetului general al Uniunii Europene, de modificare a </w:t>
            </w:r>
            <w:hyperlink r:id="rId9" w:anchor="A0" w:tgtFrame="_blank" w:history="1">
              <w:r w:rsidR="006700D8" w:rsidRPr="00A2114C">
                <w:rPr>
                  <w:rStyle w:val="Hyperlink"/>
                  <w:rFonts w:ascii="Times New Roman" w:hAnsi="Times New Roman" w:cs="Times New Roman"/>
                  <w:color w:val="auto"/>
                  <w:u w:val="none"/>
                  <w:lang w:val="ro-RO"/>
                </w:rPr>
                <w:t>Regulamentelor (UE) nr. 1.296/2013</w:t>
              </w:r>
            </w:hyperlink>
            <w:r w:rsidR="006700D8" w:rsidRPr="00A2114C">
              <w:rPr>
                <w:rStyle w:val="spar"/>
                <w:rFonts w:ascii="Times New Roman" w:hAnsi="Times New Roman" w:cs="Times New Roman"/>
                <w:lang w:val="ro-RO"/>
              </w:rPr>
              <w:t xml:space="preserve">, </w:t>
            </w:r>
            <w:hyperlink r:id="rId10" w:anchor="A0" w:tgtFrame="_blank" w:history="1">
              <w:r w:rsidR="006700D8" w:rsidRPr="00A2114C">
                <w:rPr>
                  <w:rStyle w:val="Hyperlink"/>
                  <w:rFonts w:ascii="Times New Roman" w:hAnsi="Times New Roman" w:cs="Times New Roman"/>
                  <w:color w:val="auto"/>
                  <w:u w:val="none"/>
                  <w:lang w:val="ro-RO"/>
                </w:rPr>
                <w:t>(UE) nr. 1.301/2013</w:t>
              </w:r>
            </w:hyperlink>
            <w:r w:rsidR="006700D8" w:rsidRPr="00A2114C">
              <w:rPr>
                <w:rStyle w:val="spar"/>
                <w:rFonts w:ascii="Times New Roman" w:hAnsi="Times New Roman" w:cs="Times New Roman"/>
                <w:lang w:val="ro-RO"/>
              </w:rPr>
              <w:t xml:space="preserve">, </w:t>
            </w:r>
            <w:hyperlink r:id="rId11" w:anchor="A0" w:tgtFrame="_blank" w:history="1">
              <w:r w:rsidR="006700D8" w:rsidRPr="00A2114C">
                <w:rPr>
                  <w:rStyle w:val="Hyperlink"/>
                  <w:rFonts w:ascii="Times New Roman" w:hAnsi="Times New Roman" w:cs="Times New Roman"/>
                  <w:color w:val="auto"/>
                  <w:u w:val="none"/>
                  <w:lang w:val="ro-RO"/>
                </w:rPr>
                <w:t>(UE) nr. 1.303/2013</w:t>
              </w:r>
            </w:hyperlink>
            <w:r w:rsidR="006700D8" w:rsidRPr="00A2114C">
              <w:rPr>
                <w:rStyle w:val="spar"/>
                <w:rFonts w:ascii="Times New Roman" w:hAnsi="Times New Roman" w:cs="Times New Roman"/>
                <w:lang w:val="ro-RO"/>
              </w:rPr>
              <w:t xml:space="preserve">, </w:t>
            </w:r>
            <w:hyperlink r:id="rId12" w:anchor="A0" w:tgtFrame="_blank" w:history="1">
              <w:r w:rsidR="006700D8" w:rsidRPr="00A2114C">
                <w:rPr>
                  <w:rStyle w:val="Hyperlink"/>
                  <w:rFonts w:ascii="Times New Roman" w:hAnsi="Times New Roman" w:cs="Times New Roman"/>
                  <w:color w:val="auto"/>
                  <w:u w:val="none"/>
                  <w:lang w:val="ro-RO"/>
                </w:rPr>
                <w:t>(UE) nr. 1.304/2013</w:t>
              </w:r>
            </w:hyperlink>
            <w:r w:rsidR="006700D8" w:rsidRPr="00A2114C">
              <w:rPr>
                <w:rStyle w:val="spar"/>
                <w:rFonts w:ascii="Times New Roman" w:hAnsi="Times New Roman" w:cs="Times New Roman"/>
                <w:lang w:val="ro-RO"/>
              </w:rPr>
              <w:t xml:space="preserve">, </w:t>
            </w:r>
            <w:hyperlink r:id="rId13" w:anchor="A0" w:tgtFrame="_blank" w:history="1">
              <w:r w:rsidR="006700D8" w:rsidRPr="00A2114C">
                <w:rPr>
                  <w:rStyle w:val="Hyperlink"/>
                  <w:rFonts w:ascii="Times New Roman" w:hAnsi="Times New Roman" w:cs="Times New Roman"/>
                  <w:color w:val="auto"/>
                  <w:u w:val="none"/>
                  <w:lang w:val="ro-RO"/>
                </w:rPr>
                <w:t>(UE) nr. 1.309/2013</w:t>
              </w:r>
            </w:hyperlink>
            <w:r w:rsidR="006700D8" w:rsidRPr="00A2114C">
              <w:rPr>
                <w:rStyle w:val="spar"/>
                <w:rFonts w:ascii="Times New Roman" w:hAnsi="Times New Roman" w:cs="Times New Roman"/>
                <w:lang w:val="ro-RO"/>
              </w:rPr>
              <w:t xml:space="preserve">, </w:t>
            </w:r>
            <w:hyperlink r:id="rId14" w:anchor="A0" w:tgtFrame="_blank" w:history="1">
              <w:r w:rsidR="006700D8" w:rsidRPr="00A2114C">
                <w:rPr>
                  <w:rStyle w:val="Hyperlink"/>
                  <w:rFonts w:ascii="Times New Roman" w:hAnsi="Times New Roman" w:cs="Times New Roman"/>
                  <w:color w:val="auto"/>
                  <w:u w:val="none"/>
                  <w:lang w:val="ro-RO"/>
                </w:rPr>
                <w:t>(UE) nr. 1.316/2013</w:t>
              </w:r>
            </w:hyperlink>
            <w:r w:rsidR="006700D8" w:rsidRPr="00A2114C">
              <w:rPr>
                <w:rStyle w:val="spar"/>
                <w:rFonts w:ascii="Times New Roman" w:hAnsi="Times New Roman" w:cs="Times New Roman"/>
                <w:lang w:val="ro-RO"/>
              </w:rPr>
              <w:t xml:space="preserve">, </w:t>
            </w:r>
            <w:hyperlink r:id="rId15" w:anchor="A0" w:tgtFrame="_blank" w:history="1">
              <w:r w:rsidR="006700D8" w:rsidRPr="00A2114C">
                <w:rPr>
                  <w:rStyle w:val="Hyperlink"/>
                  <w:rFonts w:ascii="Times New Roman" w:hAnsi="Times New Roman" w:cs="Times New Roman"/>
                  <w:color w:val="auto"/>
                  <w:u w:val="none"/>
                  <w:lang w:val="ro-RO"/>
                </w:rPr>
                <w:t>(UE) nr. 223/2014</w:t>
              </w:r>
            </w:hyperlink>
            <w:r w:rsidR="006700D8" w:rsidRPr="00A2114C">
              <w:rPr>
                <w:rStyle w:val="spar"/>
                <w:rFonts w:ascii="Times New Roman" w:hAnsi="Times New Roman" w:cs="Times New Roman"/>
                <w:lang w:val="ro-RO"/>
              </w:rPr>
              <w:t xml:space="preserve">, </w:t>
            </w:r>
            <w:hyperlink r:id="rId16" w:anchor="A0" w:tgtFrame="_blank" w:history="1">
              <w:r w:rsidR="006700D8" w:rsidRPr="00A2114C">
                <w:rPr>
                  <w:rStyle w:val="Hyperlink"/>
                  <w:rFonts w:ascii="Times New Roman" w:hAnsi="Times New Roman" w:cs="Times New Roman"/>
                  <w:color w:val="auto"/>
                  <w:u w:val="none"/>
                  <w:lang w:val="ro-RO"/>
                </w:rPr>
                <w:t>(UE) nr. 283/2014</w:t>
              </w:r>
            </w:hyperlink>
            <w:r w:rsidR="006700D8" w:rsidRPr="00A2114C">
              <w:rPr>
                <w:rStyle w:val="spar"/>
                <w:rFonts w:ascii="Times New Roman" w:hAnsi="Times New Roman" w:cs="Times New Roman"/>
                <w:lang w:val="ro-RO"/>
              </w:rPr>
              <w:t xml:space="preserve"> şi a </w:t>
            </w:r>
            <w:hyperlink r:id="rId17" w:anchor="A0" w:tgtFrame="_blank" w:history="1">
              <w:r w:rsidR="006700D8" w:rsidRPr="00A2114C">
                <w:rPr>
                  <w:rStyle w:val="Hyperlink"/>
                  <w:rFonts w:ascii="Times New Roman" w:hAnsi="Times New Roman" w:cs="Times New Roman"/>
                  <w:color w:val="auto"/>
                  <w:u w:val="none"/>
                  <w:lang w:val="ro-RO"/>
                </w:rPr>
                <w:t>Deciziei nr. 541/2014/UE</w:t>
              </w:r>
            </w:hyperlink>
            <w:r w:rsidR="006700D8" w:rsidRPr="00A2114C">
              <w:rPr>
                <w:rStyle w:val="spar"/>
                <w:rFonts w:ascii="Times New Roman" w:hAnsi="Times New Roman" w:cs="Times New Roman"/>
                <w:lang w:val="ro-RO"/>
              </w:rPr>
              <w:t xml:space="preserve"> şi de abrogare a </w:t>
            </w:r>
            <w:hyperlink r:id="rId18" w:anchor="A0" w:tgtFrame="_blank" w:history="1">
              <w:r w:rsidR="006700D8" w:rsidRPr="00A2114C">
                <w:rPr>
                  <w:rStyle w:val="Hyperlink"/>
                  <w:rFonts w:ascii="Times New Roman" w:hAnsi="Times New Roman" w:cs="Times New Roman"/>
                  <w:color w:val="auto"/>
                  <w:u w:val="none"/>
                  <w:lang w:val="ro-RO"/>
                </w:rPr>
                <w:t>Regulamentului (UE, Euratom) nr. 966/2012</w:t>
              </w:r>
            </w:hyperlink>
            <w:r w:rsidR="006700D8" w:rsidRPr="00A2114C">
              <w:rPr>
                <w:rStyle w:val="spar"/>
                <w:rFonts w:ascii="Times New Roman" w:hAnsi="Times New Roman" w:cs="Times New Roman"/>
                <w:lang w:val="ro-RO"/>
              </w:rPr>
              <w:t>;</w:t>
            </w:r>
          </w:p>
          <w:p w14:paraId="5D7ED11E" w14:textId="3711DD87" w:rsidR="006700D8" w:rsidRPr="00A2114C" w:rsidRDefault="00000000" w:rsidP="0064057C">
            <w:pPr>
              <w:pStyle w:val="Default"/>
              <w:numPr>
                <w:ilvl w:val="0"/>
                <w:numId w:val="34"/>
              </w:numPr>
              <w:spacing w:line="276" w:lineRule="auto"/>
              <w:ind w:left="1434" w:hanging="357"/>
              <w:jc w:val="both"/>
              <w:rPr>
                <w:rStyle w:val="slitbdy"/>
                <w:rFonts w:ascii="Times New Roman" w:hAnsi="Times New Roman" w:cs="Times New Roman"/>
                <w:lang w:val="ro-RO"/>
              </w:rPr>
            </w:pPr>
            <w:hyperlink r:id="rId19" w:anchor="A0" w:tgtFrame="_blank" w:history="1">
              <w:r w:rsidR="006700D8" w:rsidRPr="00A2114C">
                <w:rPr>
                  <w:rStyle w:val="Hyperlink"/>
                  <w:rFonts w:ascii="Times New Roman" w:hAnsi="Times New Roman" w:cs="Times New Roman"/>
                  <w:color w:val="auto"/>
                  <w:u w:val="none"/>
                  <w:lang w:val="ro-RO"/>
                </w:rPr>
                <w:t>Regulamentul (UE) 2020/2.094</w:t>
              </w:r>
            </w:hyperlink>
            <w:r w:rsidR="006700D8" w:rsidRPr="00A2114C">
              <w:rPr>
                <w:rStyle w:val="slitbdy"/>
                <w:rFonts w:ascii="Times New Roman" w:hAnsi="Times New Roman" w:cs="Times New Roman"/>
                <w:lang w:val="ro-RO"/>
              </w:rPr>
              <w:t xml:space="preserve"> al Consiliului din 14 decembrie 2020 de instituire a unui instrument de redresare al Uniunii Europene pentru a sprijini redresarea în urma crizei provocate de COVID-19;</w:t>
            </w:r>
          </w:p>
          <w:p w14:paraId="4AD7909B" w14:textId="2FEFF20D" w:rsidR="006700D8" w:rsidRPr="00A2114C" w:rsidRDefault="00000000" w:rsidP="0064057C">
            <w:pPr>
              <w:pStyle w:val="Default"/>
              <w:numPr>
                <w:ilvl w:val="0"/>
                <w:numId w:val="34"/>
              </w:numPr>
              <w:spacing w:line="276" w:lineRule="auto"/>
              <w:ind w:left="1434" w:hanging="357"/>
              <w:jc w:val="both"/>
              <w:rPr>
                <w:rStyle w:val="slitbdy"/>
                <w:rFonts w:ascii="Times New Roman" w:hAnsi="Times New Roman" w:cs="Times New Roman"/>
                <w:lang w:val="ro-RO"/>
              </w:rPr>
            </w:pPr>
            <w:hyperlink r:id="rId20" w:anchor="A0" w:tgtFrame="_blank" w:history="1">
              <w:r w:rsidR="006700D8" w:rsidRPr="00A2114C">
                <w:rPr>
                  <w:rStyle w:val="Hyperlink"/>
                  <w:rFonts w:ascii="Times New Roman" w:hAnsi="Times New Roman" w:cs="Times New Roman"/>
                  <w:color w:val="auto"/>
                  <w:u w:val="none"/>
                  <w:lang w:val="ro-RO"/>
                </w:rPr>
                <w:t>Regulamentul (UE) 2021/240</w:t>
              </w:r>
            </w:hyperlink>
            <w:r w:rsidR="006700D8" w:rsidRPr="00A2114C">
              <w:rPr>
                <w:rStyle w:val="slitbdy"/>
                <w:rFonts w:ascii="Times New Roman" w:hAnsi="Times New Roman" w:cs="Times New Roman"/>
                <w:lang w:val="ro-RO"/>
              </w:rPr>
              <w:t xml:space="preserve"> al Parlamentului European şi al Consiliului din 10 februarie 2021 de instituire a unui Instrument de sprijin tehnic,</w:t>
            </w:r>
          </w:p>
          <w:p w14:paraId="762EFCBE" w14:textId="77777777" w:rsidR="00FF7D28" w:rsidRPr="00A2114C" w:rsidRDefault="00FF7D28" w:rsidP="0064057C">
            <w:pPr>
              <w:pStyle w:val="NormalWeb"/>
              <w:numPr>
                <w:ilvl w:val="0"/>
                <w:numId w:val="24"/>
              </w:numPr>
              <w:spacing w:before="0" w:beforeAutospacing="0" w:after="0" w:afterAutospacing="0" w:line="276" w:lineRule="auto"/>
              <w:ind w:left="1434" w:hanging="357"/>
              <w:jc w:val="both"/>
              <w:rPr>
                <w:bCs/>
              </w:rPr>
            </w:pPr>
            <w:r w:rsidRPr="00A2114C">
              <w:t>Decizia de punere în aplicare a Consiliului din 3 noiembrie 2021 de aprobare a evaluării planului de redresare şi rezilienţă al României;</w:t>
            </w:r>
            <w:r w:rsidRPr="00A2114C">
              <w:rPr>
                <w:bCs/>
              </w:rPr>
              <w:t xml:space="preserve"> </w:t>
            </w:r>
          </w:p>
          <w:p w14:paraId="1DC93501" w14:textId="26A6855A" w:rsidR="005B3CAB" w:rsidRPr="00A2114C" w:rsidRDefault="005F3164" w:rsidP="0064057C">
            <w:pPr>
              <w:pStyle w:val="NormalWeb"/>
              <w:numPr>
                <w:ilvl w:val="0"/>
                <w:numId w:val="24"/>
              </w:numPr>
              <w:spacing w:before="0" w:beforeAutospacing="0" w:after="0" w:afterAutospacing="0" w:line="276" w:lineRule="auto"/>
              <w:ind w:left="1434" w:hanging="357"/>
              <w:jc w:val="both"/>
              <w:rPr>
                <w:bCs/>
              </w:rPr>
            </w:pPr>
            <w:r w:rsidRPr="00A2114C">
              <w:rPr>
                <w:bCs/>
              </w:rPr>
              <w:t>Hotărârea Parlamentului</w:t>
            </w:r>
            <w:r w:rsidR="005B3CAB" w:rsidRPr="00A2114C">
              <w:rPr>
                <w:bCs/>
              </w:rPr>
              <w:t xml:space="preserve"> nr. 42 din 25 noiembrie 2021 pentru acordarea încrederii Guvernului, capitolul VI</w:t>
            </w:r>
            <w:r w:rsidR="00385668" w:rsidRPr="00A2114C">
              <w:rPr>
                <w:bCs/>
              </w:rPr>
              <w:t xml:space="preserve"> Planul Național de Redresare și Reziliență</w:t>
            </w:r>
            <w:r w:rsidR="00575BE0" w:rsidRPr="00A2114C">
              <w:rPr>
                <w:bCs/>
              </w:rPr>
              <w:t>.</w:t>
            </w:r>
          </w:p>
          <w:p w14:paraId="36C32531" w14:textId="3CC4FBED" w:rsidR="00223491" w:rsidRDefault="00223491" w:rsidP="0064057C">
            <w:pPr>
              <w:autoSpaceDE w:val="0"/>
              <w:autoSpaceDN w:val="0"/>
              <w:adjustRightInd w:val="0"/>
              <w:spacing w:line="276" w:lineRule="auto"/>
              <w:jc w:val="both"/>
              <w:rPr>
                <w:lang w:eastAsia="ro-RO"/>
              </w:rPr>
            </w:pPr>
          </w:p>
          <w:p w14:paraId="6C018990" w14:textId="77777777" w:rsidR="0000121D" w:rsidRPr="00A2114C" w:rsidRDefault="0000121D" w:rsidP="0064057C">
            <w:pPr>
              <w:autoSpaceDE w:val="0"/>
              <w:autoSpaceDN w:val="0"/>
              <w:adjustRightInd w:val="0"/>
              <w:spacing w:line="276" w:lineRule="auto"/>
              <w:jc w:val="both"/>
              <w:rPr>
                <w:lang w:eastAsia="ro-RO"/>
              </w:rPr>
            </w:pPr>
          </w:p>
          <w:p w14:paraId="777690A7" w14:textId="77777777" w:rsidR="00223491" w:rsidRPr="00A2114C" w:rsidRDefault="00223491" w:rsidP="0064057C">
            <w:pPr>
              <w:autoSpaceDE w:val="0"/>
              <w:autoSpaceDN w:val="0"/>
              <w:adjustRightInd w:val="0"/>
              <w:spacing w:line="276" w:lineRule="auto"/>
              <w:jc w:val="both"/>
              <w:rPr>
                <w:b/>
                <w:lang w:eastAsia="ro-RO"/>
              </w:rPr>
            </w:pPr>
            <w:r w:rsidRPr="00A2114C">
              <w:rPr>
                <w:b/>
                <w:lang w:eastAsia="ro-RO"/>
              </w:rPr>
              <w:t>2.2 Descrierea situației actuale</w:t>
            </w:r>
          </w:p>
          <w:p w14:paraId="0B03ADD0" w14:textId="77777777" w:rsidR="005D1889" w:rsidRPr="00A2114C" w:rsidRDefault="005D1889" w:rsidP="0064057C">
            <w:pPr>
              <w:spacing w:line="276" w:lineRule="auto"/>
              <w:jc w:val="both"/>
            </w:pPr>
            <w:r w:rsidRPr="00A2114C">
              <w:t xml:space="preserve">Planul național de redresare și reziliență al României (PNRR) reprezintă documentul strategic al României care fundamentează prioritățile de reformă și domeniile de investiții pentru aplicarea Mecanismului de redresare și reziliență - MRR la nivel național. Sursa de finanțare este reprezentată de fondurile alocate pentru România în cadrul Mecanismului de redresare și reziliență, aprobat prin Regulamentul (UE) nr. 2021/241 al Parlamentului European și al Consiliului </w:t>
            </w:r>
            <w:r w:rsidRPr="00A2114C">
              <w:rPr>
                <w:bCs/>
                <w:iCs/>
              </w:rPr>
              <w:t xml:space="preserve">din 12 februarie 2021 </w:t>
            </w:r>
            <w:r w:rsidRPr="00A2114C">
              <w:rPr>
                <w:bCs/>
              </w:rPr>
              <w:t>de instituire a Mecanismului de redresare și reziliență</w:t>
            </w:r>
            <w:r w:rsidRPr="00A2114C">
              <w:t>. Scopul final al PNRR este să accelereze implementarea reformelor sustenabile și a investițiilor publice conexe, respectiv asigurarea ameliorării stării economiei naționale după criza generată de COVID-19, creșterea economică și crearea de locuri de muncă necesare pentru incluziunea forței de muncă, sprijinirea tranziției verzi și a celei digitale pentru promovarea creșterii durabile.</w:t>
            </w:r>
          </w:p>
          <w:p w14:paraId="272FAC20" w14:textId="77777777" w:rsidR="005D1889" w:rsidRPr="00A2114C" w:rsidRDefault="005D1889" w:rsidP="0064057C">
            <w:pPr>
              <w:spacing w:line="276" w:lineRule="auto"/>
              <w:jc w:val="both"/>
            </w:pPr>
          </w:p>
          <w:p w14:paraId="25CB6BCE" w14:textId="2F254FB6" w:rsidR="005D1889" w:rsidRPr="00A2114C" w:rsidRDefault="005D1889" w:rsidP="0064057C">
            <w:pPr>
              <w:spacing w:line="276" w:lineRule="auto"/>
              <w:jc w:val="both"/>
            </w:pPr>
            <w:r w:rsidRPr="00A2114C">
              <w:rPr>
                <w:bCs/>
              </w:rPr>
              <w:t xml:space="preserve">Planul reprezintă, în mare măsură, un răspuns cuprinzător și echilibrat la situația economică și socială și contribuie în mod corespunzător la toți cei șase piloni menționați la art. 3 din </w:t>
            </w:r>
            <w:r w:rsidRPr="00A2114C">
              <w:rPr>
                <w:bCs/>
                <w:iCs/>
              </w:rPr>
              <w:t>Regulamentul (UE) 2021/241 al Parlamentului European și al Consiliului din 12 februarie 2021 de instituire a Mecanismului de redresare și reziliență</w:t>
            </w:r>
            <w:r w:rsidRPr="00A2114C">
              <w:rPr>
                <w:bCs/>
              </w:rPr>
              <w:t>.</w:t>
            </w:r>
            <w:r w:rsidRPr="00A2114C">
              <w:rPr>
                <w:b/>
                <w:bCs/>
              </w:rPr>
              <w:t xml:space="preserve"> </w:t>
            </w:r>
            <w:r w:rsidRPr="00A2114C">
              <w:t xml:space="preserve">Planul urmează o abordare holistică pentru a realiza redresarea și a spori potențialul de creștere, consolidând în același timp reziliența socioeconomică și instituțională. Planul explică în detaliu modul în care abordează cei șase piloni. Se preconizează că planul va contribui la abordarea principalelor provocări structurale, precum și la tranziția verde și la tranziția digitală. </w:t>
            </w:r>
          </w:p>
          <w:p w14:paraId="456FD2BB" w14:textId="6DF43310" w:rsidR="00F92799" w:rsidRPr="00A2114C" w:rsidRDefault="00F92799" w:rsidP="0064057C">
            <w:pPr>
              <w:spacing w:line="276" w:lineRule="auto"/>
              <w:jc w:val="both"/>
            </w:pPr>
          </w:p>
          <w:p w14:paraId="6035D1ED" w14:textId="77777777" w:rsidR="00F92799" w:rsidRPr="00A2114C" w:rsidRDefault="00F92799" w:rsidP="0064057C">
            <w:pPr>
              <w:spacing w:line="276" w:lineRule="auto"/>
              <w:jc w:val="both"/>
              <w:rPr>
                <w:bCs/>
                <w:color w:val="FF0000"/>
              </w:rPr>
            </w:pPr>
            <w:r w:rsidRPr="00A2114C">
              <w:rPr>
                <w:bCs/>
              </w:rPr>
              <w:t>Suma aferentă implementării PNRR este de 29,18 mil. euro.</w:t>
            </w:r>
            <w:r w:rsidRPr="00A2114C">
              <w:rPr>
                <w:b/>
                <w:bCs/>
              </w:rPr>
              <w:t xml:space="preserve"> </w:t>
            </w:r>
            <w:r w:rsidRPr="00A2114C">
              <w:rPr>
                <w:bCs/>
              </w:rPr>
              <w:t xml:space="preserve">Potrivit art. 11 alin. (2) din </w:t>
            </w:r>
            <w:r w:rsidRPr="00A2114C">
              <w:rPr>
                <w:bCs/>
                <w:i/>
                <w:iCs/>
              </w:rPr>
              <w:t>Regulamentul (UE) nr. 2021/241 al Parlamentului European și al Consiliului din 12 februarie 2021 de instituire a Mecanismului de redresare și reziliență</w:t>
            </w:r>
            <w:r w:rsidRPr="00A2114C">
              <w:rPr>
                <w:bCs/>
              </w:rPr>
              <w:t>.</w:t>
            </w:r>
          </w:p>
          <w:p w14:paraId="4C57D291" w14:textId="77777777" w:rsidR="00F92799" w:rsidRPr="00A2114C" w:rsidRDefault="00F92799" w:rsidP="0064057C">
            <w:pPr>
              <w:spacing w:line="276" w:lineRule="auto"/>
              <w:jc w:val="both"/>
            </w:pPr>
          </w:p>
          <w:p w14:paraId="7B7F2962" w14:textId="77777777" w:rsidR="00F92799" w:rsidRPr="00A2114C" w:rsidRDefault="00F92799" w:rsidP="0064057C">
            <w:pPr>
              <w:spacing w:line="276" w:lineRule="auto"/>
              <w:jc w:val="both"/>
              <w:rPr>
                <w:bCs/>
              </w:rPr>
            </w:pPr>
            <w:r w:rsidRPr="00A2114C">
              <w:rPr>
                <w:bCs/>
              </w:rPr>
              <w:t>În data de 14 decembrie 2021 a intrat în vigoare Ordonanța de urgență a Guvernului nr.124/2021 privind stabilirea cadrului instituţional şi financiar pentru gestionarea fondurilor europene alocate României prin Mecanismul de redresare şi rezilienţă, precum şi pentru modificarea şi completarea Ordonanţei de urgenţă a Guvernului nr.155/2020 privind unele măsuri pentru elaborarea Planului naţional de redresare şi rezilienţă necesar României pentru accesarea de fonduri externe rambursabile şi nerambursabile în cadrul Mecanismului de redresare şi rezilienţă.  Actul normativ precizează activitățile aflate în sarcina instituțiilor responsabile de componente (coordonatori de reforme/investiții), și încredințează MIPE competența și mandatul de a exercita atribuțiile privind monitorizarea, verificarea, controlul și recuperarea, de elaborare și de semnare a cererilor de plată transmise Comisiei Europene, respectiv a declarației de gestiune. Actul normativ a fost aprobat prin Legea nr.178/2022.</w:t>
            </w:r>
          </w:p>
          <w:p w14:paraId="005608E5" w14:textId="77777777" w:rsidR="00F92799" w:rsidRPr="00A2114C" w:rsidRDefault="00F92799" w:rsidP="0064057C">
            <w:pPr>
              <w:spacing w:line="276" w:lineRule="auto"/>
              <w:jc w:val="both"/>
              <w:rPr>
                <w:bCs/>
              </w:rPr>
            </w:pPr>
          </w:p>
          <w:p w14:paraId="44D270A3" w14:textId="42ADB438" w:rsidR="005D1889" w:rsidRPr="00A2114C" w:rsidRDefault="00F92799" w:rsidP="0064057C">
            <w:pPr>
              <w:spacing w:line="276" w:lineRule="auto"/>
              <w:jc w:val="both"/>
              <w:rPr>
                <w:bCs/>
              </w:rPr>
            </w:pPr>
            <w:r w:rsidRPr="00A2114C">
              <w:rPr>
                <w:bCs/>
              </w:rPr>
              <w:t>Ordonanța de urgență a Guvernului nr.124/2021</w:t>
            </w:r>
            <w:r w:rsidR="005D1889" w:rsidRPr="00A2114C">
              <w:rPr>
                <w:bCs/>
              </w:rPr>
              <w:t xml:space="preserve">, </w:t>
            </w:r>
            <w:r w:rsidRPr="00A2114C">
              <w:rPr>
                <w:bCs/>
              </w:rPr>
              <w:t>face obiectul</w:t>
            </w:r>
            <w:r w:rsidR="005D1889" w:rsidRPr="00A2114C">
              <w:rPr>
                <w:bCs/>
              </w:rPr>
              <w:t xml:space="preserve"> jalonul</w:t>
            </w:r>
            <w:r w:rsidRPr="00A2114C">
              <w:rPr>
                <w:bCs/>
              </w:rPr>
              <w:t>ui</w:t>
            </w:r>
            <w:r w:rsidR="005D1889" w:rsidRPr="00A2114C">
              <w:rPr>
                <w:bCs/>
              </w:rPr>
              <w:t xml:space="preserve"> 451 din Anexa la Decizia de punere în aplicare a Consiliului de aprobare a evaluării planului național de redresare și reziliență al României, </w:t>
            </w:r>
            <w:r w:rsidRPr="00A2114C">
              <w:rPr>
                <w:bCs/>
              </w:rPr>
              <w:t>jalon care în urma evaluării Comisiei Europene a fost considerat îndeplinit. A</w:t>
            </w:r>
            <w:r w:rsidR="005D1889" w:rsidRPr="00A2114C">
              <w:rPr>
                <w:bCs/>
              </w:rPr>
              <w:t>ct</w:t>
            </w:r>
            <w:r w:rsidRPr="00A2114C">
              <w:rPr>
                <w:bCs/>
              </w:rPr>
              <w:t>ul</w:t>
            </w:r>
            <w:r w:rsidR="005D1889" w:rsidRPr="00A2114C">
              <w:rPr>
                <w:bCs/>
              </w:rPr>
              <w:t xml:space="preserve"> normativ </w:t>
            </w:r>
            <w:r w:rsidRPr="00A2114C">
              <w:rPr>
                <w:bCs/>
              </w:rPr>
              <w:t xml:space="preserve">reglementează </w:t>
            </w:r>
            <w:r w:rsidR="005D1889" w:rsidRPr="00A2114C">
              <w:rPr>
                <w:bCs/>
              </w:rPr>
              <w:t>activitățile aflate în sarcina instituțiilor responsabile de componente (coordonatori de reforme/investiții), și care încredințează MIPE competența și mandatul de a exercita toate atribuțiile privind monitorizarea, verificarea, controlul și recuperarea, de elaborare și de semnare a cererilor de plată transmise Comisiei Europene, respectiv a declarației de gestiune.</w:t>
            </w:r>
          </w:p>
          <w:p w14:paraId="5837EB5D" w14:textId="77777777" w:rsidR="005D1889" w:rsidRPr="00A2114C" w:rsidRDefault="005D1889" w:rsidP="0064057C">
            <w:pPr>
              <w:spacing w:line="276" w:lineRule="auto"/>
              <w:jc w:val="both"/>
              <w:rPr>
                <w:bCs/>
              </w:rPr>
            </w:pPr>
          </w:p>
          <w:p w14:paraId="5D0BA3FE" w14:textId="46F5A443" w:rsidR="005D1889" w:rsidRPr="00A2114C" w:rsidRDefault="005D1889" w:rsidP="0064057C">
            <w:pPr>
              <w:spacing w:line="276" w:lineRule="auto"/>
              <w:jc w:val="both"/>
              <w:rPr>
                <w:bCs/>
              </w:rPr>
            </w:pPr>
            <w:r w:rsidRPr="00A2114C">
              <w:rPr>
                <w:bCs/>
              </w:rPr>
              <w:lastRenderedPageBreak/>
              <w:t>Prin Hotărârea Guvern</w:t>
            </w:r>
            <w:r w:rsidR="00AD1955">
              <w:rPr>
                <w:bCs/>
              </w:rPr>
              <w:t>ului</w:t>
            </w:r>
            <w:r w:rsidRPr="00A2114C">
              <w:rPr>
                <w:bCs/>
              </w:rPr>
              <w:t xml:space="preserve"> nr.</w:t>
            </w:r>
            <w:r w:rsidR="00F92799" w:rsidRPr="00A2114C">
              <w:rPr>
                <w:bCs/>
              </w:rPr>
              <w:t xml:space="preserve"> </w:t>
            </w:r>
            <w:r w:rsidRPr="00A2114C">
              <w:rPr>
                <w:bCs/>
              </w:rPr>
              <w:t>209</w:t>
            </w:r>
            <w:r w:rsidR="00AD1955">
              <w:rPr>
                <w:bCs/>
              </w:rPr>
              <w:t>/</w:t>
            </w:r>
            <w:r w:rsidRPr="00A2114C">
              <w:rPr>
                <w:bCs/>
              </w:rPr>
              <w:t xml:space="preserve"> 2022 au fost aprobate normele metodologice de aplicare a prevederilor Ordonanței de urgență a Guvernului nr.124/2021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4E5BA07B" w14:textId="77777777" w:rsidR="005D1889" w:rsidRPr="00A2114C" w:rsidRDefault="005D1889" w:rsidP="0064057C">
            <w:pPr>
              <w:spacing w:line="276" w:lineRule="auto"/>
              <w:jc w:val="both"/>
              <w:rPr>
                <w:bCs/>
                <w:strike/>
              </w:rPr>
            </w:pPr>
          </w:p>
          <w:p w14:paraId="70824F40" w14:textId="15CA9F13" w:rsidR="00263743" w:rsidRPr="00A2114C" w:rsidRDefault="005D1889" w:rsidP="0064057C">
            <w:pPr>
              <w:spacing w:line="276" w:lineRule="auto"/>
              <w:jc w:val="both"/>
              <w:rPr>
                <w:bCs/>
              </w:rPr>
            </w:pPr>
            <w:r w:rsidRPr="00A2114C">
              <w:rPr>
                <w:bCs/>
              </w:rPr>
              <w:t xml:space="preserve">Având în vedere </w:t>
            </w:r>
            <w:r w:rsidR="00F92799" w:rsidRPr="00A2114C">
              <w:rPr>
                <w:bCs/>
              </w:rPr>
              <w:t xml:space="preserve">aspectele rezultate din implementarea PNRR </w:t>
            </w:r>
            <w:r w:rsidR="00263743" w:rsidRPr="00A2114C">
              <w:rPr>
                <w:bCs/>
              </w:rPr>
              <w:t>prin depunerea până la data prezentei a două cereri de plată de către Români</w:t>
            </w:r>
            <w:r w:rsidR="005C1094" w:rsidRPr="00A2114C">
              <w:rPr>
                <w:bCs/>
              </w:rPr>
              <w:t>a</w:t>
            </w:r>
            <w:r w:rsidR="00263743" w:rsidRPr="00A2114C">
              <w:rPr>
                <w:bCs/>
              </w:rPr>
              <w:t xml:space="preserve">, s-a identificat </w:t>
            </w:r>
            <w:r w:rsidRPr="00A2114C">
              <w:rPr>
                <w:bCs/>
              </w:rPr>
              <w:t xml:space="preserve">necesitatea modificării și completării cadrului legal care să permită </w:t>
            </w:r>
            <w:r w:rsidR="00263743" w:rsidRPr="00A2114C">
              <w:rPr>
                <w:bCs/>
              </w:rPr>
              <w:t xml:space="preserve">o utilizare cât mai eficientă a </w:t>
            </w:r>
            <w:r w:rsidRPr="00A2114C">
              <w:rPr>
                <w:bCs/>
              </w:rPr>
              <w:t xml:space="preserve">fondurilor externe nerambursabile/rambursabile </w:t>
            </w:r>
            <w:r w:rsidR="00263743" w:rsidRPr="00A2114C">
              <w:rPr>
                <w:bCs/>
              </w:rPr>
              <w:t xml:space="preserve">alocate României în </w:t>
            </w:r>
            <w:r w:rsidRPr="00A2114C">
              <w:rPr>
                <w:bCs/>
              </w:rPr>
              <w:t xml:space="preserve"> cadrul Mecanismului de redresare şi rezilienţă, în corelare directă cu obţinerea de rezultate şi implementarea reformelor şi a investiţiilor, </w:t>
            </w:r>
          </w:p>
          <w:p w14:paraId="19454677" w14:textId="77777777" w:rsidR="005C1094" w:rsidRPr="00A2114C" w:rsidRDefault="005C1094" w:rsidP="0064057C">
            <w:pPr>
              <w:spacing w:line="276" w:lineRule="auto"/>
              <w:jc w:val="both"/>
              <w:rPr>
                <w:bCs/>
              </w:rPr>
            </w:pPr>
          </w:p>
          <w:p w14:paraId="65194721" w14:textId="6C98A1DF" w:rsidR="005C1094" w:rsidRDefault="005C1094" w:rsidP="0064057C">
            <w:pPr>
              <w:autoSpaceDE w:val="0"/>
              <w:autoSpaceDN w:val="0"/>
              <w:adjustRightInd w:val="0"/>
              <w:spacing w:line="276" w:lineRule="auto"/>
              <w:jc w:val="both"/>
              <w:rPr>
                <w:bCs/>
              </w:rPr>
            </w:pPr>
            <w:r w:rsidRPr="00A2114C">
              <w:rPr>
                <w:bCs/>
              </w:rPr>
              <w:t>Ținând cont de faptul că beneficiarii direcți sau indirecți în urma modificărilor aduse cadrului legislativ sunt autorităţile cu competenţe în gestionarea fondurilor europene alocate României prin Mecanismul de redresare și reziliență, orice alte instituţii publice care au normative de specialitate, constituite conform prevederilor Ordonanței de urgență a Guvernului nr.124/2021, cu atribuţii privind prevenirea, constatarea unei nereguli, stabilirea şi urmărirea încasării creanţelor bugetare rezultate din nereguli apărute în obţinerea şi utilizarea fondurilor europene alocate României prin Mecanismul de redresare și reziliență  şi a fondurilor publice naţionale aferente acestora, beneficiarii de fonduri europene alocate României prin Mecanismul de redresare și reziliență şi/sau fonduri publice naţionale aferente acestora, precum şi orice alți operatori economici cu capital public sau privat care desfăşoară activităţi finanţate din fonduri europene alocate României prin Mecanismul de redresare și reziliență  în baza contractului/deciziei/ordinului/acordului de implementare/convenției de finanțare.</w:t>
            </w:r>
          </w:p>
          <w:p w14:paraId="3686D4F5" w14:textId="77777777" w:rsidR="001A241C" w:rsidRPr="00A2114C" w:rsidRDefault="001A241C" w:rsidP="0064057C">
            <w:pPr>
              <w:autoSpaceDE w:val="0"/>
              <w:autoSpaceDN w:val="0"/>
              <w:adjustRightInd w:val="0"/>
              <w:spacing w:line="276" w:lineRule="auto"/>
              <w:jc w:val="both"/>
              <w:rPr>
                <w:bCs/>
              </w:rPr>
            </w:pPr>
          </w:p>
          <w:p w14:paraId="15A1E390" w14:textId="77777777" w:rsidR="00263743" w:rsidRPr="00A2114C" w:rsidRDefault="00263743" w:rsidP="0064057C">
            <w:pPr>
              <w:spacing w:line="276" w:lineRule="auto"/>
              <w:jc w:val="both"/>
              <w:rPr>
                <w:bCs/>
              </w:rPr>
            </w:pPr>
            <w:r w:rsidRPr="00A2114C">
              <w:rPr>
                <w:bCs/>
              </w:rPr>
              <w:t>L</w:t>
            </w:r>
            <w:r w:rsidR="005D1889" w:rsidRPr="00A2114C">
              <w:rPr>
                <w:bCs/>
              </w:rPr>
              <w:t xml:space="preserve">uând în considerare orizontul de timp determinat, respectiv 31 august 2026, dată până la care a fost asumată îndeplinirea a 507 jaloane şi ţinte asociate investiţiilor-cheie şi reformelor majore aferente celor şase piloni principali stabiliţi prin Regulamentul (UE) 2021/241 al Parlamentului European şi al Consiliului din 12 februarie 2021 de instituire a Mecanismului de redresare şi rezilienţă, </w:t>
            </w:r>
          </w:p>
          <w:p w14:paraId="6B2B996E" w14:textId="77777777" w:rsidR="00263743" w:rsidRPr="00A2114C" w:rsidRDefault="00263743" w:rsidP="0064057C">
            <w:pPr>
              <w:spacing w:line="276" w:lineRule="auto"/>
              <w:jc w:val="both"/>
              <w:rPr>
                <w:bCs/>
              </w:rPr>
            </w:pPr>
          </w:p>
          <w:p w14:paraId="67AC6A83" w14:textId="757670A7" w:rsidR="009377F0" w:rsidRPr="00A2114C" w:rsidRDefault="009377F0" w:rsidP="0064057C">
            <w:pPr>
              <w:spacing w:line="276" w:lineRule="auto"/>
              <w:jc w:val="both"/>
              <w:rPr>
                <w:bCs/>
              </w:rPr>
            </w:pPr>
            <w:r w:rsidRPr="00A2114C">
              <w:rPr>
                <w:bCs/>
              </w:rPr>
              <w:t>Ț</w:t>
            </w:r>
            <w:r w:rsidR="005D1889" w:rsidRPr="00A2114C">
              <w:rPr>
                <w:bCs/>
              </w:rPr>
              <w:t xml:space="preserve">inând cont că lipsa reglementării unitare şi complete a cadrului instituţional şi financiar general aplicabil fondurilor externe nerambursabile/rambursabile aferent Mecanismului de redresare şi rezilienţă generează întârzieri în implementarea acestuia, cu impact asupra termenelor de depunere a cererilor de plată şi a gradului de absorbţie a fondurilor alocate României din Mecanismul de redresare şi rezilienţă, </w:t>
            </w:r>
          </w:p>
          <w:p w14:paraId="5BCCA6E9" w14:textId="552C1661" w:rsidR="005C1094" w:rsidRPr="00A2114C" w:rsidRDefault="005C1094" w:rsidP="0064057C">
            <w:pPr>
              <w:spacing w:line="276" w:lineRule="auto"/>
              <w:jc w:val="both"/>
              <w:rPr>
                <w:bCs/>
              </w:rPr>
            </w:pPr>
          </w:p>
          <w:p w14:paraId="1DC3E32E" w14:textId="77777777" w:rsidR="005C1094" w:rsidRPr="00A2114C" w:rsidRDefault="009377F0" w:rsidP="0064057C">
            <w:pPr>
              <w:spacing w:line="276" w:lineRule="auto"/>
              <w:jc w:val="both"/>
              <w:rPr>
                <w:bCs/>
              </w:rPr>
            </w:pPr>
            <w:r w:rsidRPr="00A2114C">
              <w:rPr>
                <w:bCs/>
              </w:rPr>
              <w:t>A</w:t>
            </w:r>
            <w:r w:rsidR="005D1889" w:rsidRPr="00A2114C">
              <w:rPr>
                <w:bCs/>
              </w:rPr>
              <w:t>vând în vedere necesitatea clarificării cât mai urgente a mecanismelor și fluxurilor aplicabile investițiilor și proiectelor finanțate din Planul Național de Redresare și Reziliență, cât și a rolurilor diferitelor structuri implicate, în scopul evitării blocajului implementării investiţiilor, respectiv atingerii ţintelor şi jaloanelor este necesară modificarea și completarea reglementărilor care să vizeze aspectele menţionate anterior cu privire la mecanismele și fluxurile aplicabile strucuturilor implicate în implementarea PNRR şi care să asigure o corectă utilizare a fondurilor externe nerambursabile/rambursabile alocate României prin Mecanismul de redresare şi rezilienţă</w:t>
            </w:r>
            <w:r w:rsidRPr="00A2114C">
              <w:rPr>
                <w:bCs/>
              </w:rPr>
              <w:t>.</w:t>
            </w:r>
          </w:p>
          <w:p w14:paraId="35E6E1EF" w14:textId="77777777" w:rsidR="005C1094" w:rsidRPr="00A2114C" w:rsidRDefault="005C1094" w:rsidP="0064057C">
            <w:pPr>
              <w:spacing w:line="276" w:lineRule="auto"/>
              <w:jc w:val="both"/>
              <w:rPr>
                <w:rStyle w:val="spar"/>
              </w:rPr>
            </w:pPr>
          </w:p>
          <w:p w14:paraId="1D6CBECC" w14:textId="7EEF1ADF" w:rsidR="005C1094" w:rsidRPr="00A2114C" w:rsidRDefault="005C1094" w:rsidP="0064057C">
            <w:pPr>
              <w:spacing w:line="276" w:lineRule="auto"/>
              <w:jc w:val="both"/>
              <w:rPr>
                <w:rStyle w:val="spar"/>
                <w:bCs/>
              </w:rPr>
            </w:pPr>
            <w:r w:rsidRPr="00A2114C">
              <w:rPr>
                <w:rStyle w:val="spar"/>
              </w:rPr>
              <w:lastRenderedPageBreak/>
              <w:t>Ținând cont de faptul că elementele menţionate vizează interesul public şi strategic şi constituie o situaţie de urgenţă şi extraordinară, se impune adoptarea de măsuri imediate pe calea ordonanţei de urgenţă.</w:t>
            </w:r>
          </w:p>
          <w:p w14:paraId="3280F0C6" w14:textId="77777777" w:rsidR="009377F0" w:rsidRPr="00A2114C" w:rsidRDefault="009377F0" w:rsidP="0064057C">
            <w:pPr>
              <w:autoSpaceDE w:val="0"/>
              <w:autoSpaceDN w:val="0"/>
              <w:adjustRightInd w:val="0"/>
              <w:spacing w:line="276" w:lineRule="auto"/>
              <w:jc w:val="both"/>
              <w:rPr>
                <w:lang w:eastAsia="ro-RO"/>
              </w:rPr>
            </w:pPr>
          </w:p>
          <w:p w14:paraId="4238D1EB" w14:textId="02BAC0FB" w:rsidR="00223491" w:rsidRPr="00A2114C" w:rsidRDefault="004D434D" w:rsidP="0064057C">
            <w:pPr>
              <w:autoSpaceDE w:val="0"/>
              <w:autoSpaceDN w:val="0"/>
              <w:adjustRightInd w:val="0"/>
              <w:spacing w:line="276" w:lineRule="auto"/>
              <w:jc w:val="both"/>
              <w:rPr>
                <w:b/>
                <w:lang w:eastAsia="ro-RO"/>
              </w:rPr>
            </w:pPr>
            <w:r w:rsidRPr="00A2114C">
              <w:rPr>
                <w:lang w:eastAsia="ro-RO"/>
              </w:rPr>
              <w:t xml:space="preserve"> </w:t>
            </w:r>
            <w:r w:rsidR="00223491" w:rsidRPr="00A2114C">
              <w:rPr>
                <w:b/>
                <w:lang w:eastAsia="ro-RO"/>
              </w:rPr>
              <w:t>2.3 Schimbări preconizate</w:t>
            </w:r>
          </w:p>
          <w:p w14:paraId="3AE0754C" w14:textId="77777777" w:rsidR="005D1889" w:rsidRPr="00A2114C" w:rsidRDefault="005D1889" w:rsidP="0064057C">
            <w:pPr>
              <w:widowControl w:val="0"/>
              <w:autoSpaceDE w:val="0"/>
              <w:autoSpaceDN w:val="0"/>
              <w:adjustRightInd w:val="0"/>
              <w:spacing w:line="276" w:lineRule="auto"/>
              <w:jc w:val="both"/>
              <w:rPr>
                <w:bCs/>
              </w:rPr>
            </w:pPr>
            <w:r w:rsidRPr="00A2114C">
              <w:t xml:space="preserve">Prin intervențiile sale, planul </w:t>
            </w:r>
            <w:r w:rsidRPr="00A2114C">
              <w:rPr>
                <w:bCs/>
              </w:rPr>
              <w:t xml:space="preserve">reprezintă un răspuns cuprinzător și echilibrat la situația economică și socială din România, contribuind astfel în mod corespunzător la toți cei șase piloni de politică menționați la art. 3 din Regulamentul (UE) nr. 241/2021 al Parlamentului European și al Consiliului </w:t>
            </w:r>
            <w:r w:rsidRPr="00A2114C">
              <w:rPr>
                <w:bCs/>
                <w:iCs/>
              </w:rPr>
              <w:t xml:space="preserve">din 12 februarie 2021 </w:t>
            </w:r>
            <w:r w:rsidRPr="00A2114C">
              <w:rPr>
                <w:bCs/>
              </w:rPr>
              <w:t xml:space="preserve">de instituire a Mecanismului de redresare și reziliență. </w:t>
            </w:r>
          </w:p>
          <w:p w14:paraId="2145F94E" w14:textId="77777777" w:rsidR="00DD5C2B" w:rsidRPr="00A2114C" w:rsidRDefault="00DD5C2B" w:rsidP="0064057C">
            <w:pPr>
              <w:widowControl w:val="0"/>
              <w:autoSpaceDE w:val="0"/>
              <w:autoSpaceDN w:val="0"/>
              <w:adjustRightInd w:val="0"/>
              <w:spacing w:line="276" w:lineRule="auto"/>
              <w:jc w:val="both"/>
              <w:rPr>
                <w:bCs/>
              </w:rPr>
            </w:pPr>
          </w:p>
          <w:p w14:paraId="467A8041" w14:textId="5EBB269B" w:rsidR="005D1889" w:rsidRPr="00A2114C" w:rsidRDefault="005D1889" w:rsidP="0064057C">
            <w:pPr>
              <w:widowControl w:val="0"/>
              <w:autoSpaceDE w:val="0"/>
              <w:autoSpaceDN w:val="0"/>
              <w:adjustRightInd w:val="0"/>
              <w:spacing w:line="276" w:lineRule="auto"/>
              <w:jc w:val="both"/>
              <w:rPr>
                <w:bCs/>
              </w:rPr>
            </w:pPr>
            <w:r w:rsidRPr="00A2114C">
              <w:rPr>
                <w:bCs/>
              </w:rPr>
              <w:t>Pentru implementarea sa, este necesară completarea cadrului instituțional și stabilirea fluxurilor financiare, de monitorizare, verificare și control. În acest sens, OUG nr. 155/2020 privind unele măsuri pentru elaborarea Planului național de redresare şi reziliență necesar României pentru accesarea de fonduri externe rambursabile şi nerambursabile în cadrul Mecanismului de redresare şi reziliență, cu modificările și completările ulterioare, prevede deja principalele instituții implicate în procesul de gestionare a Planului și instituie Comitetele Interministeriale de Coordonare și Comitetul de Monitorizare.</w:t>
            </w:r>
            <w:r w:rsidR="00374EEB" w:rsidRPr="00A2114C">
              <w:rPr>
                <w:bCs/>
              </w:rPr>
              <w:t xml:space="preserve"> </w:t>
            </w:r>
            <w:r w:rsidRPr="00A2114C">
              <w:rPr>
                <w:bCs/>
              </w:rPr>
              <w:t>Totodată, Anexa 3.3. din cadrul Planului național de redresare și reziliență al României descrie mecanismul de implementare și control.</w:t>
            </w:r>
          </w:p>
          <w:p w14:paraId="21B332E9" w14:textId="77777777" w:rsidR="00DD5C2B" w:rsidRPr="00A2114C" w:rsidRDefault="00DD5C2B" w:rsidP="0064057C">
            <w:pPr>
              <w:widowControl w:val="0"/>
              <w:autoSpaceDE w:val="0"/>
              <w:autoSpaceDN w:val="0"/>
              <w:adjustRightInd w:val="0"/>
              <w:spacing w:line="276" w:lineRule="auto"/>
              <w:jc w:val="both"/>
              <w:rPr>
                <w:bCs/>
              </w:rPr>
            </w:pPr>
          </w:p>
          <w:p w14:paraId="649708FD" w14:textId="76BF5C70" w:rsidR="005D1889" w:rsidRPr="00A2114C" w:rsidRDefault="005D1889" w:rsidP="0064057C">
            <w:pPr>
              <w:widowControl w:val="0"/>
              <w:autoSpaceDE w:val="0"/>
              <w:autoSpaceDN w:val="0"/>
              <w:adjustRightInd w:val="0"/>
              <w:spacing w:line="276" w:lineRule="auto"/>
              <w:jc w:val="both"/>
              <w:rPr>
                <w:bCs/>
              </w:rPr>
            </w:pPr>
            <w:r w:rsidRPr="00A2114C">
              <w:rPr>
                <w:bCs/>
              </w:rPr>
              <w:t xml:space="preserve">Prin prezentul act normativ se propune aprobarea </w:t>
            </w:r>
            <w:r w:rsidR="00086663" w:rsidRPr="00A2114C">
              <w:rPr>
                <w:bCs/>
              </w:rPr>
              <w:t xml:space="preserve">modificării și completării </w:t>
            </w:r>
            <w:r w:rsidRPr="00A2114C">
              <w:rPr>
                <w:bCs/>
              </w:rPr>
              <w:t xml:space="preserve">cadrului instituțional de coordonare și gestionare a fondurilor europene alocate României prin Mecanismul de redresare și reziliență, pentru implementarea Planului național de redresare și reziliență și </w:t>
            </w:r>
            <w:r w:rsidR="00086663" w:rsidRPr="00A2114C">
              <w:rPr>
                <w:bCs/>
              </w:rPr>
              <w:t xml:space="preserve">modificarea/completarea </w:t>
            </w:r>
            <w:r w:rsidRPr="00A2114C">
              <w:rPr>
                <w:bCs/>
              </w:rPr>
              <w:t>mecanismului privind gestionarea financiară a acestor fonduri</w:t>
            </w:r>
            <w:r w:rsidR="00086663" w:rsidRPr="00A2114C">
              <w:rPr>
                <w:bCs/>
              </w:rPr>
              <w:t xml:space="preserve">, astfel încât să clarifice fluxurile financiare dintre structurile de implementare și coordonatorii de reforme și/sau investiții </w:t>
            </w:r>
            <w:r w:rsidR="00374EEB" w:rsidRPr="00A2114C">
              <w:rPr>
                <w:bCs/>
              </w:rPr>
              <w:t>ș</w:t>
            </w:r>
            <w:r w:rsidR="00086663" w:rsidRPr="00A2114C">
              <w:rPr>
                <w:bCs/>
              </w:rPr>
              <w:t>i beneficiarii PNRR</w:t>
            </w:r>
            <w:r w:rsidR="00374EEB" w:rsidRPr="00A2114C">
              <w:rPr>
                <w:bCs/>
              </w:rPr>
              <w:t xml:space="preserve">, precum și </w:t>
            </w:r>
            <w:r w:rsidR="00AE6CC7" w:rsidRPr="00A2114C">
              <w:rPr>
                <w:bCs/>
              </w:rPr>
              <w:t xml:space="preserve">adoptarea tututror măsurilor necesare pentru susțienrea unui </w:t>
            </w:r>
            <w:r w:rsidR="00374EEB" w:rsidRPr="00A2114C">
              <w:rPr>
                <w:bCs/>
              </w:rPr>
              <w:t>sistem de control și verificare</w:t>
            </w:r>
            <w:r w:rsidR="00AE6CC7" w:rsidRPr="00A2114C">
              <w:rPr>
                <w:bCs/>
              </w:rPr>
              <w:t xml:space="preserve"> eficace și eficient, care să asigure protejarea intereselor financiare ale Uniunii Europene </w:t>
            </w:r>
            <w:r w:rsidR="00AE6CC7" w:rsidRPr="00A2114C">
              <w:t>și recuperarea cuantumurilor plătite în mod necuvenit sau utilizate în mod incorect</w:t>
            </w:r>
            <w:r w:rsidR="00AE6CC7" w:rsidRPr="00A2114C">
              <w:rPr>
                <w:bCs/>
              </w:rPr>
              <w:t xml:space="preserve">, </w:t>
            </w:r>
            <w:r w:rsidR="00AE6CC7" w:rsidRPr="00A2114C">
              <w:t>și a celor privind asigurarea că utilizarea fondurilor în legătură cu măsurile sprijinite de mecanism respectă normele aplicabile din dreptul Uniunii și din dreptul intern, în special în ceea ce privește prevenirea, depistarea și corectarea fraudei, a corupției și a conflictelor de interese</w:t>
            </w:r>
            <w:r w:rsidRPr="00A2114C">
              <w:rPr>
                <w:bCs/>
              </w:rPr>
              <w:t>.</w:t>
            </w:r>
          </w:p>
          <w:p w14:paraId="1CBE9B51" w14:textId="39230676" w:rsidR="00DD5C2B" w:rsidRDefault="00DD5C2B" w:rsidP="0064057C">
            <w:pPr>
              <w:widowControl w:val="0"/>
              <w:autoSpaceDE w:val="0"/>
              <w:autoSpaceDN w:val="0"/>
              <w:adjustRightInd w:val="0"/>
              <w:spacing w:line="276" w:lineRule="auto"/>
              <w:jc w:val="both"/>
              <w:rPr>
                <w:bCs/>
              </w:rPr>
            </w:pPr>
          </w:p>
          <w:p w14:paraId="5E544F26" w14:textId="77777777" w:rsidR="00A2114C" w:rsidRDefault="00A2114C" w:rsidP="0064057C">
            <w:pPr>
              <w:autoSpaceDE w:val="0"/>
              <w:autoSpaceDN w:val="0"/>
              <w:adjustRightInd w:val="0"/>
              <w:spacing w:line="276" w:lineRule="auto"/>
              <w:jc w:val="both"/>
              <w:rPr>
                <w:rFonts w:asciiTheme="majorBidi" w:hAnsiTheme="majorBidi" w:cstheme="majorBidi"/>
                <w:color w:val="000000"/>
              </w:rPr>
            </w:pPr>
            <w:r w:rsidRPr="00A46C53">
              <w:t>MIPE, în calitate de coordonator naţional pentru elaborarea, negocierea, aprobarea, implementarea, monitorizarea şi controlul fondurilor acordate în cadrul Mecanismului de redresare şi rezilienţă, respectiv instituţie care exercită funcţia de vicepreşedinte al Comitetului interministerial de coordonare a PNRR</w:t>
            </w:r>
            <w:r>
              <w:t xml:space="preserve">, este permanent preocupat de </w:t>
            </w:r>
            <w:r>
              <w:rPr>
                <w:rFonts w:asciiTheme="majorBidi" w:hAnsiTheme="majorBidi" w:cstheme="majorBidi"/>
                <w:color w:val="000000"/>
              </w:rPr>
              <w:t>îmbunătățirea</w:t>
            </w:r>
            <w:r w:rsidRPr="00F84F77">
              <w:rPr>
                <w:rFonts w:asciiTheme="majorBidi" w:hAnsiTheme="majorBidi" w:cstheme="majorBidi"/>
                <w:color w:val="000000"/>
              </w:rPr>
              <w:t xml:space="preserve"> cadrului instituţional şi financiar de gestionare a fondurilor europene în cadrul Mecanismului de redresare şi rezilienţă, precum şi </w:t>
            </w:r>
            <w:r>
              <w:rPr>
                <w:rFonts w:asciiTheme="majorBidi" w:hAnsiTheme="majorBidi" w:cstheme="majorBidi"/>
                <w:color w:val="000000"/>
              </w:rPr>
              <w:t xml:space="preserve">de </w:t>
            </w:r>
            <w:r w:rsidRPr="00F84F77">
              <w:rPr>
                <w:rFonts w:asciiTheme="majorBidi" w:hAnsiTheme="majorBidi" w:cstheme="majorBidi"/>
                <w:color w:val="000000"/>
              </w:rPr>
              <w:t xml:space="preserve">asigurarea unui management financiar eficient al fondurilor </w:t>
            </w:r>
            <w:r>
              <w:rPr>
                <w:rFonts w:asciiTheme="majorBidi" w:hAnsiTheme="majorBidi" w:cstheme="majorBidi"/>
                <w:color w:val="000000"/>
              </w:rPr>
              <w:t xml:space="preserve">europene </w:t>
            </w:r>
            <w:r w:rsidRPr="00F84F77">
              <w:rPr>
                <w:rFonts w:asciiTheme="majorBidi" w:hAnsiTheme="majorBidi" w:cstheme="majorBidi"/>
                <w:color w:val="000000"/>
              </w:rPr>
              <w:t xml:space="preserve">şi </w:t>
            </w:r>
            <w:r>
              <w:rPr>
                <w:rFonts w:asciiTheme="majorBidi" w:hAnsiTheme="majorBidi" w:cstheme="majorBidi"/>
                <w:color w:val="000000"/>
              </w:rPr>
              <w:t>de creșterea</w:t>
            </w:r>
            <w:r w:rsidRPr="00F84F77">
              <w:rPr>
                <w:rFonts w:asciiTheme="majorBidi" w:hAnsiTheme="majorBidi" w:cstheme="majorBidi"/>
                <w:color w:val="000000"/>
              </w:rPr>
              <w:t xml:space="preserve"> capacităţii de absorbţie</w:t>
            </w:r>
            <w:r>
              <w:rPr>
                <w:rFonts w:asciiTheme="majorBidi" w:hAnsiTheme="majorBidi" w:cstheme="majorBidi"/>
                <w:color w:val="000000"/>
              </w:rPr>
              <w:t xml:space="preserve"> a acestora.</w:t>
            </w:r>
          </w:p>
          <w:p w14:paraId="56D0448B" w14:textId="313EDB16" w:rsidR="00A2114C" w:rsidRDefault="00A2114C" w:rsidP="0064057C">
            <w:pPr>
              <w:autoSpaceDE w:val="0"/>
              <w:autoSpaceDN w:val="0"/>
              <w:adjustRightInd w:val="0"/>
              <w:spacing w:line="276" w:lineRule="auto"/>
              <w:jc w:val="both"/>
            </w:pPr>
            <w:r w:rsidRPr="00A46C53">
              <w:rPr>
                <w:rFonts w:asciiTheme="majorBidi" w:hAnsiTheme="majorBidi" w:cstheme="majorBidi"/>
                <w:color w:val="000000"/>
              </w:rPr>
              <w:t>Mai mult decât atât</w:t>
            </w:r>
            <w:r>
              <w:rPr>
                <w:rFonts w:asciiTheme="majorBidi" w:hAnsiTheme="majorBidi" w:cstheme="majorBidi"/>
                <w:color w:val="000000"/>
              </w:rPr>
              <w:t>,</w:t>
            </w:r>
            <w:r w:rsidRPr="00A46C53">
              <w:rPr>
                <w:rFonts w:asciiTheme="majorBidi" w:hAnsiTheme="majorBidi" w:cstheme="majorBidi"/>
                <w:color w:val="000000"/>
              </w:rPr>
              <w:t xml:space="preserve"> </w:t>
            </w:r>
            <w:r>
              <w:rPr>
                <w:rFonts w:asciiTheme="majorBidi" w:hAnsiTheme="majorBidi" w:cstheme="majorBidi"/>
                <w:color w:val="000000"/>
              </w:rPr>
              <w:t>atribuția</w:t>
            </w:r>
            <w:r w:rsidRPr="00A46C53">
              <w:rPr>
                <w:rFonts w:asciiTheme="majorBidi" w:hAnsiTheme="majorBidi" w:cstheme="majorBidi"/>
                <w:color w:val="000000"/>
              </w:rPr>
              <w:t xml:space="preserve"> legală </w:t>
            </w:r>
            <w:r>
              <w:rPr>
                <w:rFonts w:asciiTheme="majorBidi" w:hAnsiTheme="majorBidi" w:cstheme="majorBidi"/>
                <w:color w:val="000000"/>
              </w:rPr>
              <w:t>acordată MIPE</w:t>
            </w:r>
            <w:r w:rsidRPr="00A46C53">
              <w:rPr>
                <w:rFonts w:asciiTheme="majorBidi" w:hAnsiTheme="majorBidi" w:cstheme="majorBidi"/>
                <w:color w:val="000000"/>
              </w:rPr>
              <w:t xml:space="preserve"> </w:t>
            </w:r>
            <w:r>
              <w:rPr>
                <w:rFonts w:asciiTheme="majorBidi" w:hAnsiTheme="majorBidi" w:cstheme="majorBidi"/>
                <w:color w:val="000000"/>
              </w:rPr>
              <w:t>în baza</w:t>
            </w:r>
            <w:r w:rsidRPr="00A46C53">
              <w:rPr>
                <w:rFonts w:asciiTheme="majorBidi" w:hAnsiTheme="majorBidi" w:cstheme="majorBidi"/>
                <w:color w:val="000000"/>
              </w:rPr>
              <w:t xml:space="preserve"> art</w:t>
            </w:r>
            <w:r w:rsidR="00AD1955">
              <w:rPr>
                <w:rFonts w:asciiTheme="majorBidi" w:hAnsiTheme="majorBidi" w:cstheme="majorBidi"/>
                <w:color w:val="000000"/>
              </w:rPr>
              <w:t>.</w:t>
            </w:r>
            <w:r w:rsidRPr="00A46C53">
              <w:rPr>
                <w:rFonts w:asciiTheme="majorBidi" w:hAnsiTheme="majorBidi" w:cstheme="majorBidi"/>
                <w:color w:val="000000"/>
              </w:rPr>
              <w:t xml:space="preserve"> 8 al </w:t>
            </w:r>
            <w:r w:rsidRPr="00A46C53">
              <w:rPr>
                <w:rFonts w:asciiTheme="majorBidi" w:hAnsiTheme="majorBidi" w:cstheme="majorBidi"/>
                <w:i/>
                <w:iCs/>
                <w:color w:val="000000"/>
              </w:rPr>
              <w:t>OUG nr</w:t>
            </w:r>
            <w:r w:rsidR="00AD1955">
              <w:rPr>
                <w:rFonts w:asciiTheme="majorBidi" w:hAnsiTheme="majorBidi" w:cstheme="majorBidi"/>
                <w:i/>
                <w:iCs/>
                <w:color w:val="000000"/>
              </w:rPr>
              <w:t>.</w:t>
            </w:r>
            <w:r w:rsidRPr="00A46C53">
              <w:rPr>
                <w:rFonts w:asciiTheme="majorBidi" w:hAnsiTheme="majorBidi" w:cstheme="majorBidi"/>
                <w:i/>
                <w:iCs/>
                <w:color w:val="000000"/>
              </w:rPr>
              <w:t xml:space="preserve"> 124/2021privind stabilirea cadrului instituţional şi financiar pentru gestionarea fondurilor europene alocate României prin Mecanismul de redresare şi rezilienţă, precum şi pentru modificarea şi completarea Ordonanţei de urgenţă a Guvernului nr. 155/2020</w:t>
            </w:r>
            <w:r>
              <w:rPr>
                <w:rFonts w:asciiTheme="majorBidi" w:hAnsiTheme="majorBidi" w:cstheme="majorBidi"/>
                <w:i/>
                <w:iCs/>
                <w:color w:val="000000"/>
              </w:rPr>
              <w:t xml:space="preserve"> </w:t>
            </w:r>
            <w:r w:rsidRPr="00A46C53">
              <w:rPr>
                <w:rFonts w:asciiTheme="majorBidi" w:hAnsiTheme="majorBidi" w:cstheme="majorBidi"/>
                <w:i/>
                <w:iCs/>
                <w:color w:val="000000"/>
              </w:rPr>
              <w:t>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r>
              <w:rPr>
                <w:rFonts w:asciiTheme="majorBidi" w:hAnsiTheme="majorBidi" w:cstheme="majorBidi"/>
                <w:i/>
                <w:iCs/>
                <w:color w:val="000000"/>
              </w:rPr>
              <w:t xml:space="preserve">, </w:t>
            </w:r>
            <w:r>
              <w:rPr>
                <w:rFonts w:asciiTheme="majorBidi" w:hAnsiTheme="majorBidi" w:cstheme="majorBidi"/>
                <w:color w:val="000000"/>
              </w:rPr>
              <w:t xml:space="preserve">conform căreia </w:t>
            </w:r>
            <w:r w:rsidRPr="00A46C53">
              <w:t xml:space="preserve">MIPE </w:t>
            </w:r>
            <w:r>
              <w:t>„</w:t>
            </w:r>
            <w:r w:rsidRPr="00A46C53">
              <w:t>coordonează implementarea şi gestionarea fondurilor europene, în conformitate cu principiul bunei gestiuni financiare potrivit Regulamentului financiar</w:t>
            </w:r>
            <w:r>
              <w:t xml:space="preserve">”, crează premisele implementării de noi mecanisme în direcția </w:t>
            </w:r>
            <w:r>
              <w:lastRenderedPageBreak/>
              <w:t xml:space="preserve">îmbunătățirii procesului de gestionare a asistenței financiare nerambursabile/rambursabile </w:t>
            </w:r>
            <w:r w:rsidRPr="00C857AA">
              <w:t xml:space="preserve">în </w:t>
            </w:r>
            <w:r>
              <w:t xml:space="preserve">scopul </w:t>
            </w:r>
            <w:r w:rsidRPr="00C857AA">
              <w:t>îndeplinirii obiectivelor de politică ale P</w:t>
            </w:r>
            <w:r>
              <w:t xml:space="preserve">lanului </w:t>
            </w:r>
            <w:r w:rsidRPr="00C857AA">
              <w:t>N</w:t>
            </w:r>
            <w:r>
              <w:t xml:space="preserve">ațional de </w:t>
            </w:r>
            <w:r w:rsidRPr="00C857AA">
              <w:t>R</w:t>
            </w:r>
            <w:r>
              <w:t xml:space="preserve">edresare și </w:t>
            </w:r>
            <w:r w:rsidRPr="00C857AA">
              <w:t>R</w:t>
            </w:r>
            <w:r>
              <w:t>eziliență, dar și pentru îmbunătățirea mecanismelor existente.</w:t>
            </w:r>
          </w:p>
          <w:p w14:paraId="53679EF4" w14:textId="77777777" w:rsidR="0000121D" w:rsidRDefault="0000121D" w:rsidP="0064057C">
            <w:pPr>
              <w:autoSpaceDE w:val="0"/>
              <w:autoSpaceDN w:val="0"/>
              <w:adjustRightInd w:val="0"/>
              <w:spacing w:line="276" w:lineRule="auto"/>
              <w:jc w:val="both"/>
            </w:pPr>
          </w:p>
          <w:p w14:paraId="691E87E8" w14:textId="0BDAAD8C" w:rsidR="00A2114C" w:rsidRDefault="00A2114C" w:rsidP="0064057C">
            <w:pPr>
              <w:autoSpaceDE w:val="0"/>
              <w:autoSpaceDN w:val="0"/>
              <w:adjustRightInd w:val="0"/>
              <w:spacing w:line="276" w:lineRule="auto"/>
              <w:jc w:val="both"/>
            </w:pPr>
            <w:r>
              <w:t xml:space="preserve">În acest context, și în vederea întăririi rolului de coordonator național al MIPE, prin proiectul de act normativ se intenționează diversificarea tipurilor de verificări efectuate de către coordonatorul național prin structura de specialitate în scopul întăririi principiului bunei gestiuni financiare, prin introducerea la nivel central a unor </w:t>
            </w:r>
            <w:r w:rsidRPr="00DF379C">
              <w:t>verificări</w:t>
            </w:r>
            <w:r>
              <w:t xml:space="preserve"> asupra</w:t>
            </w:r>
            <w:r w:rsidRPr="00DF379C">
              <w:t xml:space="preserve"> legalităţii şi regularităţii cheltuielilor</w:t>
            </w:r>
            <w:r>
              <w:t xml:space="preserve"> </w:t>
            </w:r>
            <w:r w:rsidRPr="00E32B08">
              <w:rPr>
                <w:b/>
                <w:bCs/>
              </w:rPr>
              <w:t>raportate</w:t>
            </w:r>
            <w:r>
              <w:t xml:space="preserve"> de coordonatorii de reformă și investiții – verificări ce urmează a fi efectuate</w:t>
            </w:r>
            <w:r w:rsidRPr="00DF379C">
              <w:t>, atât pe baza documentelor justificative transmise de coordonatorii de reforme și/sau investiții cât și pe baza verificărilor prin eșantion a  procedurilor de achiziție derulate de către autoritățile contractante, și de beneficiarii privati care nu intră sub incidența prevederilor art</w:t>
            </w:r>
            <w:r w:rsidR="00AD1955">
              <w:t>.</w:t>
            </w:r>
            <w:r w:rsidRPr="00DF379C">
              <w:t xml:space="preserve"> 6 din </w:t>
            </w:r>
            <w:r w:rsidRPr="00DF379C">
              <w:rPr>
                <w:i/>
                <w:iCs/>
              </w:rPr>
              <w:t>Legea nr 98/2016 privind achizițiile publice cu modificările și completările ulterioare</w:t>
            </w:r>
            <w:r>
              <w:t>.</w:t>
            </w:r>
          </w:p>
          <w:p w14:paraId="5F409E09" w14:textId="77777777" w:rsidR="0000121D" w:rsidRDefault="0000121D" w:rsidP="0064057C">
            <w:pPr>
              <w:autoSpaceDE w:val="0"/>
              <w:autoSpaceDN w:val="0"/>
              <w:adjustRightInd w:val="0"/>
              <w:spacing w:line="276" w:lineRule="auto"/>
              <w:jc w:val="both"/>
            </w:pPr>
          </w:p>
          <w:p w14:paraId="7D5AB0E5" w14:textId="77777777" w:rsidR="0000121D" w:rsidRDefault="00A2114C" w:rsidP="0064057C">
            <w:pPr>
              <w:autoSpaceDE w:val="0"/>
              <w:autoSpaceDN w:val="0"/>
              <w:adjustRightInd w:val="0"/>
              <w:spacing w:line="276" w:lineRule="auto"/>
              <w:jc w:val="both"/>
            </w:pPr>
            <w:r>
              <w:t>Termenul propus pentru raportarea sumelor</w:t>
            </w:r>
            <w:r w:rsidRPr="00E32B08">
              <w:t xml:space="preserve"> utilizate pentru implementarea proiectelor finanţate din fonduri europene în cadrul PNRR,</w:t>
            </w:r>
            <w:r>
              <w:t xml:space="preserve"> subiect al verificărilor de legalitate și regularitate, este de maxim 5 zile lucrătoare de la finele trimestrului/lunii.</w:t>
            </w:r>
          </w:p>
          <w:p w14:paraId="7B976183" w14:textId="1E7B5AE4" w:rsidR="00A2114C" w:rsidRDefault="00A2114C" w:rsidP="0064057C">
            <w:pPr>
              <w:autoSpaceDE w:val="0"/>
              <w:autoSpaceDN w:val="0"/>
              <w:adjustRightInd w:val="0"/>
              <w:spacing w:line="276" w:lineRule="auto"/>
              <w:jc w:val="both"/>
              <w:rPr>
                <w:rFonts w:asciiTheme="majorBidi" w:hAnsiTheme="majorBidi" w:cstheme="majorBidi"/>
                <w:color w:val="000000"/>
              </w:rPr>
            </w:pPr>
            <w:r>
              <w:t xml:space="preserve"> </w:t>
            </w:r>
          </w:p>
          <w:p w14:paraId="37C55F05" w14:textId="07ABA943" w:rsidR="00A2114C" w:rsidRDefault="00A2114C" w:rsidP="0064057C">
            <w:pPr>
              <w:autoSpaceDE w:val="0"/>
              <w:autoSpaceDN w:val="0"/>
              <w:adjustRightInd w:val="0"/>
              <w:spacing w:line="276" w:lineRule="auto"/>
              <w:jc w:val="both"/>
              <w:rPr>
                <w:rFonts w:asciiTheme="majorBidi" w:hAnsiTheme="majorBidi" w:cstheme="majorBidi"/>
                <w:color w:val="000000"/>
              </w:rPr>
            </w:pPr>
            <w:r>
              <w:rPr>
                <w:rFonts w:asciiTheme="majorBidi" w:hAnsiTheme="majorBidi" w:cstheme="majorBidi"/>
                <w:color w:val="000000"/>
              </w:rPr>
              <w:t xml:space="preserve">Finalitatea acestor verificări este reprezentată de emiterea unui aviz emis de MIPE privind legalitatea și regularitatea cheltuielilor efectuate în scopul implementării reformelor și investițiilor prevăzute în PNRR – document ce condiționează atât procesul de distribuire de către MF a sumelor aferente asistenței financiare nerambursabile către conturile de venituri bugetare ale beneficiarilor, cât și utilizarea sumelor din asistența financiară rambursabilă. Astfel, utilizarea sumelor acordate în cadrul Mecanismului de Redresare și Reziliență se va face doar pe baza avizului mai sus menționat și în cuantumul înscris în cadrul acestuia. </w:t>
            </w:r>
          </w:p>
          <w:p w14:paraId="5F8919AC" w14:textId="77777777" w:rsidR="0000121D" w:rsidRDefault="0000121D" w:rsidP="0064057C">
            <w:pPr>
              <w:autoSpaceDE w:val="0"/>
              <w:autoSpaceDN w:val="0"/>
              <w:adjustRightInd w:val="0"/>
              <w:spacing w:line="276" w:lineRule="auto"/>
              <w:jc w:val="both"/>
              <w:rPr>
                <w:rFonts w:asciiTheme="majorBidi" w:hAnsiTheme="majorBidi" w:cstheme="majorBidi"/>
                <w:color w:val="000000"/>
              </w:rPr>
            </w:pPr>
          </w:p>
          <w:p w14:paraId="03868478" w14:textId="4D17AA3D" w:rsidR="00A2114C" w:rsidRDefault="00A2114C" w:rsidP="0064057C">
            <w:pPr>
              <w:autoSpaceDE w:val="0"/>
              <w:autoSpaceDN w:val="0"/>
              <w:adjustRightInd w:val="0"/>
              <w:spacing w:line="276" w:lineRule="auto"/>
              <w:jc w:val="both"/>
              <w:rPr>
                <w:rFonts w:asciiTheme="majorBidi" w:hAnsiTheme="majorBidi" w:cstheme="majorBidi"/>
                <w:color w:val="000000"/>
                <w:lang w:val="fr-FR"/>
              </w:rPr>
            </w:pPr>
            <w:r>
              <w:rPr>
                <w:rFonts w:asciiTheme="majorBidi" w:hAnsiTheme="majorBidi" w:cstheme="majorBidi"/>
                <w:color w:val="000000"/>
              </w:rPr>
              <w:t>Astfel, ținând cont de intercalarea procesului de verificare a legalității și regularității cheltuielilor declarate de coordonatorii de reformă și/sau investiții în procedura de solicitare de fonduri, este necesar ca termenul existent pentru transmiterea la MF  a acestor documente – prevăzut la art 19 alin</w:t>
            </w:r>
            <w:r w:rsidR="00AD1955">
              <w:rPr>
                <w:rFonts w:asciiTheme="majorBidi" w:hAnsiTheme="majorBidi" w:cstheme="majorBidi"/>
                <w:color w:val="000000"/>
              </w:rPr>
              <w:t>.</w:t>
            </w:r>
            <w:r>
              <w:rPr>
                <w:rFonts w:asciiTheme="majorBidi" w:hAnsiTheme="majorBidi" w:cstheme="majorBidi"/>
                <w:color w:val="000000"/>
              </w:rPr>
              <w:t xml:space="preserve"> (3) – să fie decalat, astfel încât să poată fi îndeplinită condiția ca solicitările de fonduri să fie însoțite obligatoriu de avizul MIPE.  În acest context, termenul pentru depunerea solicitărilor de fonduri a fost modificat în  </w:t>
            </w:r>
            <w:r w:rsidRPr="00AE687C">
              <w:rPr>
                <w:rFonts w:asciiTheme="majorBidi" w:hAnsiTheme="majorBidi" w:cstheme="majorBidi"/>
                <w:color w:val="000000"/>
                <w:lang w:val="fr-FR"/>
              </w:rPr>
              <w:t>“</w:t>
            </w:r>
            <w:r>
              <w:rPr>
                <w:rFonts w:asciiTheme="majorBidi" w:hAnsiTheme="majorBidi" w:cstheme="majorBidi"/>
                <w:color w:val="000000"/>
                <w:lang w:val="fr-FR"/>
              </w:rPr>
              <w:t>termen de 5 zile lucrătoare de la primirea avizului</w:t>
            </w:r>
            <w:r w:rsidRPr="00AE687C">
              <w:rPr>
                <w:rFonts w:asciiTheme="majorBidi" w:hAnsiTheme="majorBidi" w:cstheme="majorBidi"/>
                <w:color w:val="000000"/>
                <w:lang w:val="fr-FR"/>
              </w:rPr>
              <w:t>”</w:t>
            </w:r>
            <w:r>
              <w:rPr>
                <w:rFonts w:asciiTheme="majorBidi" w:hAnsiTheme="majorBidi" w:cstheme="majorBidi"/>
                <w:color w:val="000000"/>
                <w:lang w:val="fr-FR"/>
              </w:rPr>
              <w:t>.</w:t>
            </w:r>
          </w:p>
          <w:p w14:paraId="1FEABD14" w14:textId="77777777" w:rsidR="0000121D" w:rsidRDefault="0000121D" w:rsidP="0064057C">
            <w:pPr>
              <w:autoSpaceDE w:val="0"/>
              <w:autoSpaceDN w:val="0"/>
              <w:adjustRightInd w:val="0"/>
              <w:spacing w:line="276" w:lineRule="auto"/>
              <w:jc w:val="both"/>
              <w:rPr>
                <w:rFonts w:asciiTheme="majorBidi" w:hAnsiTheme="majorBidi" w:cstheme="majorBidi"/>
                <w:color w:val="000000"/>
                <w:lang w:val="fr-FR"/>
              </w:rPr>
            </w:pPr>
          </w:p>
          <w:p w14:paraId="169EAE79" w14:textId="64F63452" w:rsidR="00A2114C" w:rsidRDefault="00A2114C" w:rsidP="0064057C">
            <w:pPr>
              <w:autoSpaceDE w:val="0"/>
              <w:autoSpaceDN w:val="0"/>
              <w:adjustRightInd w:val="0"/>
              <w:spacing w:line="276" w:lineRule="auto"/>
              <w:jc w:val="both"/>
              <w:rPr>
                <w:rFonts w:eastAsiaTheme="minorEastAsia"/>
              </w:rPr>
            </w:pPr>
            <w:r>
              <w:rPr>
                <w:rFonts w:asciiTheme="majorBidi" w:hAnsiTheme="majorBidi" w:cstheme="majorBidi"/>
                <w:color w:val="000000"/>
              </w:rPr>
              <w:t xml:space="preserve">Proiectul de act normativ prevede și un mecanism de reglare a situațiilor în care coordonatorii de reformă și/sau investiții nu transmit solicitările de fonduri însoțite de avizul MIPE </w:t>
            </w:r>
            <w:r w:rsidRPr="001F4ACC">
              <w:rPr>
                <w:rFonts w:eastAsiaTheme="minorEastAsia"/>
              </w:rPr>
              <w:t xml:space="preserve">sau </w:t>
            </w:r>
            <w:r>
              <w:rPr>
                <w:rFonts w:eastAsiaTheme="minorEastAsia"/>
              </w:rPr>
              <w:t xml:space="preserve">transmit solicitări de fonduri cu sume diferite față de cele pentru care MIPE a acordat avizul. Pentru adresarea acestor situații în proiectul de act normativ s-a prevăzut faptul că </w:t>
            </w:r>
            <w:r w:rsidRPr="001F4ACC">
              <w:rPr>
                <w:rFonts w:eastAsiaTheme="minorEastAsia"/>
              </w:rPr>
              <w:t>Ministerul Finanțelor nu</w:t>
            </w:r>
            <w:r>
              <w:rPr>
                <w:rFonts w:eastAsiaTheme="minorEastAsia"/>
              </w:rPr>
              <w:t xml:space="preserve"> va</w:t>
            </w:r>
            <w:r w:rsidRPr="001F4ACC">
              <w:rPr>
                <w:rFonts w:eastAsiaTheme="minorEastAsia"/>
              </w:rPr>
              <w:t xml:space="preserve"> efectu</w:t>
            </w:r>
            <w:r>
              <w:rPr>
                <w:rFonts w:eastAsiaTheme="minorEastAsia"/>
              </w:rPr>
              <w:t>a</w:t>
            </w:r>
            <w:r w:rsidRPr="001F4ACC">
              <w:rPr>
                <w:rFonts w:eastAsiaTheme="minorEastAsia"/>
              </w:rPr>
              <w:t xml:space="preserve"> transferul </w:t>
            </w:r>
            <w:r>
              <w:rPr>
                <w:rFonts w:eastAsiaTheme="minorEastAsia"/>
              </w:rPr>
              <w:t xml:space="preserve"> către beneficiari a sumelor reprezentând asistență financiară nerambursabilă </w:t>
            </w:r>
            <w:r w:rsidRPr="001F4ACC">
              <w:rPr>
                <w:rFonts w:eastAsiaTheme="minorEastAsia"/>
              </w:rPr>
              <w:t xml:space="preserve">și </w:t>
            </w:r>
            <w:r>
              <w:rPr>
                <w:rFonts w:eastAsiaTheme="minorEastAsia"/>
              </w:rPr>
              <w:t xml:space="preserve">va </w:t>
            </w:r>
            <w:r w:rsidRPr="001F4ACC">
              <w:rPr>
                <w:rFonts w:eastAsiaTheme="minorEastAsia"/>
              </w:rPr>
              <w:t>proced</w:t>
            </w:r>
            <w:r>
              <w:rPr>
                <w:rFonts w:eastAsiaTheme="minorEastAsia"/>
              </w:rPr>
              <w:t>a</w:t>
            </w:r>
            <w:r w:rsidRPr="001F4ACC">
              <w:rPr>
                <w:rFonts w:eastAsiaTheme="minorEastAsia"/>
              </w:rPr>
              <w:t xml:space="preserve"> la sistarea deschiderilor de credite bugetare pentru proiectele gestionate prin intermediul PNRR pentru coordonatorii de reforme și/sau investiții aflați in aceasta situație până la momentul remedierii deficiențelor</w:t>
            </w:r>
            <w:r>
              <w:rPr>
                <w:rFonts w:eastAsiaTheme="minorEastAsia"/>
              </w:rPr>
              <w:t>.</w:t>
            </w:r>
          </w:p>
          <w:p w14:paraId="5442212D" w14:textId="77777777" w:rsidR="0000121D" w:rsidRDefault="0000121D" w:rsidP="0064057C">
            <w:pPr>
              <w:autoSpaceDE w:val="0"/>
              <w:autoSpaceDN w:val="0"/>
              <w:adjustRightInd w:val="0"/>
              <w:spacing w:line="276" w:lineRule="auto"/>
              <w:jc w:val="both"/>
              <w:rPr>
                <w:rFonts w:asciiTheme="majorBidi" w:hAnsiTheme="majorBidi" w:cstheme="majorBidi"/>
                <w:color w:val="000000"/>
              </w:rPr>
            </w:pPr>
          </w:p>
          <w:p w14:paraId="06AECFEF" w14:textId="47DA6F9A" w:rsidR="00A2114C" w:rsidRDefault="00A2114C" w:rsidP="0064057C">
            <w:pPr>
              <w:autoSpaceDE w:val="0"/>
              <w:autoSpaceDN w:val="0"/>
              <w:adjustRightInd w:val="0"/>
              <w:spacing w:line="276" w:lineRule="auto"/>
              <w:jc w:val="both"/>
              <w:rPr>
                <w:rFonts w:asciiTheme="majorBidi" w:hAnsiTheme="majorBidi" w:cstheme="majorBidi"/>
                <w:color w:val="000000"/>
              </w:rPr>
            </w:pPr>
            <w:r>
              <w:rPr>
                <w:rFonts w:asciiTheme="majorBidi" w:hAnsiTheme="majorBidi" w:cstheme="majorBidi"/>
                <w:color w:val="000000"/>
              </w:rPr>
              <w:t>Un alt aspect care contribuie la îmbunătățirea</w:t>
            </w:r>
            <w:r w:rsidRPr="00F84F77">
              <w:rPr>
                <w:rFonts w:asciiTheme="majorBidi" w:hAnsiTheme="majorBidi" w:cstheme="majorBidi"/>
                <w:color w:val="000000"/>
              </w:rPr>
              <w:t xml:space="preserve"> cadrului instituţional şi financiar de gestionare a fondurilor europene în cadrul Mecanismului de redresare şi rezilienţă</w:t>
            </w:r>
            <w:r>
              <w:rPr>
                <w:rFonts w:asciiTheme="majorBidi" w:hAnsiTheme="majorBidi" w:cstheme="majorBidi"/>
                <w:color w:val="000000"/>
              </w:rPr>
              <w:t xml:space="preserve"> este cel referitor la propunerea de modificare a sistemului actual de  raportare, în sensul eliminării estimărilor trimestriale prevăzute la art</w:t>
            </w:r>
            <w:r w:rsidR="00AD1955">
              <w:rPr>
                <w:rFonts w:asciiTheme="majorBidi" w:hAnsiTheme="majorBidi" w:cstheme="majorBidi"/>
                <w:color w:val="000000"/>
              </w:rPr>
              <w:t>.</w:t>
            </w:r>
            <w:r>
              <w:rPr>
                <w:rFonts w:asciiTheme="majorBidi" w:hAnsiTheme="majorBidi" w:cstheme="majorBidi"/>
                <w:color w:val="000000"/>
              </w:rPr>
              <w:t xml:space="preserve"> 18 din ordonanț</w:t>
            </w:r>
            <w:r w:rsidR="005F1FEB">
              <w:rPr>
                <w:rFonts w:asciiTheme="majorBidi" w:hAnsiTheme="majorBidi" w:cstheme="majorBidi"/>
                <w:color w:val="000000"/>
              </w:rPr>
              <w:t>ade urgență</w:t>
            </w:r>
            <w:r>
              <w:rPr>
                <w:rFonts w:asciiTheme="majorBidi" w:hAnsiTheme="majorBidi" w:cstheme="majorBidi"/>
                <w:color w:val="000000"/>
              </w:rPr>
              <w:t xml:space="preserve">. Efectul scontat al acestei modificări este cel de simplificare și reducere a sarcinilor </w:t>
            </w:r>
            <w:r>
              <w:rPr>
                <w:rFonts w:asciiTheme="majorBidi" w:hAnsiTheme="majorBidi" w:cstheme="majorBidi"/>
                <w:color w:val="000000"/>
              </w:rPr>
              <w:lastRenderedPageBreak/>
              <w:t xml:space="preserve">administrative aflate în responsabilitatea coordonatorilor de reformă și/sau investiții. În plus, proiectul de act normativ prevede raportarea de către coordonatorii de reformă și/sau investiții a sumelor </w:t>
            </w:r>
            <w:r w:rsidRPr="00F731EE">
              <w:rPr>
                <w:rFonts w:asciiTheme="majorBidi" w:hAnsiTheme="majorBidi" w:cstheme="majorBidi"/>
                <w:color w:val="000000"/>
              </w:rPr>
              <w:t>utilizate pentru implementarea proiectelor finanţate din fonduri europene în cadrul PNRR, se comuni</w:t>
            </w:r>
            <w:r>
              <w:rPr>
                <w:rFonts w:asciiTheme="majorBidi" w:hAnsiTheme="majorBidi" w:cstheme="majorBidi"/>
                <w:color w:val="000000"/>
              </w:rPr>
              <w:t>că</w:t>
            </w:r>
            <w:r w:rsidRPr="00F731EE">
              <w:rPr>
                <w:rFonts w:asciiTheme="majorBidi" w:hAnsiTheme="majorBidi" w:cstheme="majorBidi"/>
                <w:color w:val="000000"/>
              </w:rPr>
              <w:t xml:space="preserve"> MIPE trimestrial/lunar în primele 5 zile lucrătoare de la finele trimestrului/lunii</w:t>
            </w:r>
            <w:r>
              <w:rPr>
                <w:rFonts w:asciiTheme="majorBidi" w:hAnsiTheme="majorBidi" w:cstheme="majorBidi"/>
                <w:color w:val="000000"/>
              </w:rPr>
              <w:t xml:space="preserve">, </w:t>
            </w:r>
          </w:p>
          <w:p w14:paraId="0FBBB8E2" w14:textId="77777777" w:rsidR="00A2114C" w:rsidRPr="00A2114C" w:rsidRDefault="00A2114C" w:rsidP="0064057C">
            <w:pPr>
              <w:widowControl w:val="0"/>
              <w:autoSpaceDE w:val="0"/>
              <w:autoSpaceDN w:val="0"/>
              <w:adjustRightInd w:val="0"/>
              <w:spacing w:line="276" w:lineRule="auto"/>
              <w:jc w:val="both"/>
              <w:rPr>
                <w:bCs/>
              </w:rPr>
            </w:pPr>
          </w:p>
          <w:p w14:paraId="5187D4C0" w14:textId="21F850F9" w:rsidR="005D1889" w:rsidRPr="00A2114C" w:rsidRDefault="00BA12B3" w:rsidP="0064057C">
            <w:pPr>
              <w:widowControl w:val="0"/>
              <w:autoSpaceDE w:val="0"/>
              <w:autoSpaceDN w:val="0"/>
              <w:adjustRightInd w:val="0"/>
              <w:spacing w:line="276" w:lineRule="auto"/>
              <w:jc w:val="both"/>
              <w:rPr>
                <w:bCs/>
              </w:rPr>
            </w:pPr>
            <w:r w:rsidRPr="00A2114C">
              <w:rPr>
                <w:bCs/>
              </w:rPr>
              <w:t xml:space="preserve">I. </w:t>
            </w:r>
            <w:r w:rsidRPr="00A2114C">
              <w:rPr>
                <w:b/>
                <w:bCs/>
              </w:rPr>
              <w:t>În privința modificării și completării O</w:t>
            </w:r>
            <w:r w:rsidR="00404EFF" w:rsidRPr="00A2114C">
              <w:rPr>
                <w:b/>
                <w:bCs/>
              </w:rPr>
              <w:t xml:space="preserve">rdonanței de </w:t>
            </w:r>
            <w:r w:rsidR="00AD1955">
              <w:rPr>
                <w:b/>
                <w:bCs/>
              </w:rPr>
              <w:t>u</w:t>
            </w:r>
            <w:r w:rsidR="00404EFF" w:rsidRPr="00A2114C">
              <w:rPr>
                <w:b/>
                <w:bCs/>
              </w:rPr>
              <w:t xml:space="preserve">rgență a </w:t>
            </w:r>
            <w:r w:rsidRPr="00A2114C">
              <w:rPr>
                <w:b/>
                <w:bCs/>
              </w:rPr>
              <w:t>G</w:t>
            </w:r>
            <w:r w:rsidR="00404EFF" w:rsidRPr="00A2114C">
              <w:rPr>
                <w:b/>
                <w:bCs/>
              </w:rPr>
              <w:t>uvernului</w:t>
            </w:r>
            <w:r w:rsidRPr="00A2114C">
              <w:rPr>
                <w:b/>
                <w:bCs/>
              </w:rPr>
              <w:t xml:space="preserve"> nr. 124/2021,</w:t>
            </w:r>
            <w:r w:rsidRPr="00A2114C">
              <w:rPr>
                <w:bCs/>
              </w:rPr>
              <w:t xml:space="preserve"> p</w:t>
            </w:r>
            <w:r w:rsidR="005D1889" w:rsidRPr="00A2114C">
              <w:rPr>
                <w:bCs/>
              </w:rPr>
              <w:t>roiectul de act normativ definește următoarele elemente cheie:</w:t>
            </w:r>
          </w:p>
          <w:p w14:paraId="3B35AE33" w14:textId="77777777" w:rsidR="00404EFF" w:rsidRPr="00A2114C" w:rsidRDefault="00CA0628" w:rsidP="0064057C">
            <w:pPr>
              <w:widowControl w:val="0"/>
              <w:numPr>
                <w:ilvl w:val="0"/>
                <w:numId w:val="24"/>
              </w:numPr>
              <w:autoSpaceDE w:val="0"/>
              <w:autoSpaceDN w:val="0"/>
              <w:adjustRightInd w:val="0"/>
              <w:spacing w:line="276" w:lineRule="auto"/>
              <w:ind w:left="791"/>
              <w:jc w:val="both"/>
              <w:rPr>
                <w:bCs/>
              </w:rPr>
            </w:pPr>
            <w:r w:rsidRPr="00A2114C">
              <w:rPr>
                <w:rFonts w:eastAsia="Calibri"/>
              </w:rPr>
              <w:t xml:space="preserve">Se propune </w:t>
            </w:r>
            <w:r w:rsidRPr="00A2114C">
              <w:rPr>
                <w:rFonts w:eastAsia="Calibri"/>
                <w:b/>
                <w:i/>
              </w:rPr>
              <w:t>modificarea definiției structurii de implementare</w:t>
            </w:r>
            <w:r w:rsidRPr="00A2114C">
              <w:rPr>
                <w:rFonts w:eastAsia="Calibri"/>
              </w:rPr>
              <w:t>, în scopul creării posibilității legale ca și alte entități să poate implementa investiții, în numele beneficiarilor.</w:t>
            </w:r>
          </w:p>
          <w:p w14:paraId="1702EDAF" w14:textId="4E4714C2" w:rsidR="00404EFF" w:rsidRPr="00A2114C" w:rsidRDefault="00404EFF" w:rsidP="0064057C">
            <w:pPr>
              <w:widowControl w:val="0"/>
              <w:numPr>
                <w:ilvl w:val="0"/>
                <w:numId w:val="24"/>
              </w:numPr>
              <w:autoSpaceDE w:val="0"/>
              <w:autoSpaceDN w:val="0"/>
              <w:adjustRightInd w:val="0"/>
              <w:spacing w:line="276" w:lineRule="auto"/>
              <w:ind w:left="791"/>
              <w:jc w:val="both"/>
              <w:rPr>
                <w:bCs/>
              </w:rPr>
            </w:pPr>
            <w:r w:rsidRPr="00A2114C">
              <w:rPr>
                <w:bCs/>
              </w:rPr>
              <w:t xml:space="preserve">Se propune </w:t>
            </w:r>
            <w:r w:rsidRPr="00A2114C">
              <w:rPr>
                <w:b/>
                <w:bCs/>
                <w:i/>
              </w:rPr>
              <w:t xml:space="preserve">modificarea definiției </w:t>
            </w:r>
            <w:r w:rsidRPr="00A2114C">
              <w:rPr>
                <w:b/>
                <w:i/>
              </w:rPr>
              <w:t>sistemului informatic de management al PNRR</w:t>
            </w:r>
            <w:r w:rsidRPr="00A2114C">
              <w:t xml:space="preserve"> în </w:t>
            </w:r>
            <w:r w:rsidRPr="00A2114C">
              <w:rPr>
                <w:i/>
              </w:rPr>
              <w:t xml:space="preserve">sistemul informatic de management și control al PNRR, </w:t>
            </w:r>
            <w:r w:rsidRPr="00A2114C">
              <w:t>pentru unitate terminologică, în vederea corelării dispozițiilor art. 2 lit. nn) cu cele ale art. 2 lit. jj</w:t>
            </w:r>
            <w:r w:rsidRPr="00A2114C">
              <w:rPr>
                <w:vertAlign w:val="superscript"/>
              </w:rPr>
              <w:t xml:space="preserve">2) </w:t>
            </w:r>
            <w:r w:rsidRPr="00A2114C">
              <w:t>din ordonanț</w:t>
            </w:r>
            <w:r w:rsidR="005F1FEB">
              <w:t>a de urgență</w:t>
            </w:r>
            <w:r w:rsidRPr="00A2114C">
              <w:t>;</w:t>
            </w:r>
          </w:p>
          <w:p w14:paraId="2D5FDF3C" w14:textId="17F42814" w:rsidR="00653348" w:rsidRPr="00A2114C" w:rsidRDefault="00653348" w:rsidP="0064057C">
            <w:pPr>
              <w:widowControl w:val="0"/>
              <w:numPr>
                <w:ilvl w:val="0"/>
                <w:numId w:val="24"/>
              </w:numPr>
              <w:autoSpaceDE w:val="0"/>
              <w:autoSpaceDN w:val="0"/>
              <w:adjustRightInd w:val="0"/>
              <w:spacing w:line="276" w:lineRule="auto"/>
              <w:ind w:left="791"/>
              <w:jc w:val="both"/>
              <w:rPr>
                <w:bCs/>
              </w:rPr>
            </w:pPr>
            <w:r w:rsidRPr="00A2114C">
              <w:rPr>
                <w:rFonts w:eastAsia="Calibri"/>
              </w:rPr>
              <w:t xml:space="preserve">Se propune </w:t>
            </w:r>
            <w:r w:rsidRPr="00A2114C">
              <w:rPr>
                <w:rFonts w:eastAsia="Calibri"/>
                <w:b/>
              </w:rPr>
              <w:t xml:space="preserve">completarea definiției de la art. 2 lit. m) </w:t>
            </w:r>
            <w:r w:rsidRPr="00A2114C">
              <w:rPr>
                <w:rFonts w:eastAsia="Calibri"/>
                <w:b/>
                <w:i/>
              </w:rPr>
              <w:t>cerere de transfer</w:t>
            </w:r>
            <w:r w:rsidRPr="00A2114C">
              <w:rPr>
                <w:rFonts w:eastAsia="Calibri"/>
                <w:i/>
              </w:rPr>
              <w:t xml:space="preserve"> - </w:t>
            </w:r>
            <w:r w:rsidRPr="00A2114C">
              <w:rPr>
                <w:rFonts w:eastAsia="Calibri"/>
              </w:rPr>
              <w:t>în sensul cuprinderii tuturor categoriilor de cheltuieli efectuate de beneficiari (</w:t>
            </w:r>
            <w:r w:rsidRPr="00A2114C">
              <w:t>alţii decât cei prevăzuţi la art. 9 alin. (1), în conformitate cu prevederile contractului/ordinului/deciziei de finanțare și a acordului de parteneriat parte integrantă a acestuia/acesteia, după caz.</w:t>
            </w:r>
          </w:p>
          <w:p w14:paraId="23418242" w14:textId="77777777" w:rsidR="00453662" w:rsidRDefault="003A4D1A" w:rsidP="00453662">
            <w:pPr>
              <w:widowControl w:val="0"/>
              <w:numPr>
                <w:ilvl w:val="0"/>
                <w:numId w:val="24"/>
              </w:numPr>
              <w:autoSpaceDE w:val="0"/>
              <w:autoSpaceDN w:val="0"/>
              <w:adjustRightInd w:val="0"/>
              <w:spacing w:line="276" w:lineRule="auto"/>
              <w:ind w:left="791"/>
              <w:jc w:val="both"/>
              <w:rPr>
                <w:bCs/>
              </w:rPr>
            </w:pPr>
            <w:r w:rsidRPr="00A2114C">
              <w:rPr>
                <w:rFonts w:eastAsia="Calibri"/>
              </w:rPr>
              <w:t xml:space="preserve">Se propune </w:t>
            </w:r>
            <w:r w:rsidRPr="00A2114C">
              <w:rPr>
                <w:rFonts w:eastAsia="Calibri"/>
                <w:b/>
              </w:rPr>
              <w:t>clarificarea rolului CNI</w:t>
            </w:r>
            <w:r w:rsidRPr="00A2114C">
              <w:rPr>
                <w:rFonts w:eastAsia="Calibri"/>
              </w:rPr>
              <w:t>, întrucât compania funcționează ca o societate comercială reglementată de Legea societăților nr. 31/1990, republicată cu modificările și completările ulterioare, aceasta nu poate avea rolul de ag</w:t>
            </w:r>
            <w:r w:rsidRPr="00A2114C">
              <w:rPr>
                <w:rFonts w:eastAsia="Trebuchet MS"/>
              </w:rPr>
              <w:t>enție de implementare a proiectelor, și prin urmare este necesară modificarea dispoziției legale în sensul eliminării sintagmei de ”</w:t>
            </w:r>
            <w:r w:rsidRPr="00A2114C">
              <w:rPr>
                <w:rFonts w:eastAsia="Trebuchet MS"/>
                <w:i/>
              </w:rPr>
              <w:t>agenție de implementare</w:t>
            </w:r>
            <w:r w:rsidRPr="00A2114C">
              <w:rPr>
                <w:rFonts w:eastAsia="Trebuchet MS"/>
              </w:rPr>
              <w:t>”, CNI rămânând să aibă doar rol de structură de implementare pentru anumite obiective de investiții finanțate în cadrul componentelor Planului Național de Redresare și Reziliență, în numele beneficiarilor.</w:t>
            </w:r>
          </w:p>
          <w:p w14:paraId="0E4252C8" w14:textId="7218BB64" w:rsidR="00453662" w:rsidRPr="00453662" w:rsidRDefault="00453662" w:rsidP="00453662">
            <w:pPr>
              <w:widowControl w:val="0"/>
              <w:numPr>
                <w:ilvl w:val="0"/>
                <w:numId w:val="24"/>
              </w:numPr>
              <w:autoSpaceDE w:val="0"/>
              <w:autoSpaceDN w:val="0"/>
              <w:adjustRightInd w:val="0"/>
              <w:spacing w:line="276" w:lineRule="auto"/>
              <w:ind w:left="791"/>
              <w:jc w:val="both"/>
              <w:rPr>
                <w:bCs/>
              </w:rPr>
            </w:pPr>
            <w:r w:rsidRPr="00453662">
              <w:rPr>
                <w:rFonts w:eastAsia="Trebuchet MS"/>
              </w:rPr>
              <w:t xml:space="preserve">Se propune completarea art. 3 cu un nou alineat </w:t>
            </w:r>
            <w:r w:rsidR="007C44A6">
              <w:rPr>
                <w:rFonts w:eastAsia="Trebuchet MS"/>
              </w:rPr>
              <w:t>3</w:t>
            </w:r>
            <w:r w:rsidR="007C44A6">
              <w:rPr>
                <w:rFonts w:eastAsia="Trebuchet MS"/>
                <w:vertAlign w:val="superscript"/>
              </w:rPr>
              <w:t>1</w:t>
            </w:r>
            <w:r w:rsidR="007C44A6">
              <w:rPr>
                <w:rFonts w:eastAsia="Trebuchet MS"/>
              </w:rPr>
              <w:t xml:space="preserve"> în baza căruia </w:t>
            </w:r>
            <w:r w:rsidRPr="00A851A5">
              <w:t>MIPE, în calitate de coordonator național, și instituțiile cu rol de control prevăzute la art.</w:t>
            </w:r>
            <w:r>
              <w:t xml:space="preserve"> </w:t>
            </w:r>
            <w:r w:rsidRPr="00A851A5">
              <w:t>3 au obligația încheierii de protocoale de colaborare, în cadrul cărora se vor cuprinde modalitățile de lucru și schimb de informații între instituțiile implicate în scopul optimizării activității de control”.</w:t>
            </w:r>
          </w:p>
          <w:p w14:paraId="6057906C" w14:textId="77777777" w:rsidR="009C64DD" w:rsidRPr="00A2114C" w:rsidRDefault="001D022A" w:rsidP="0064057C">
            <w:pPr>
              <w:widowControl w:val="0"/>
              <w:numPr>
                <w:ilvl w:val="0"/>
                <w:numId w:val="24"/>
              </w:numPr>
              <w:autoSpaceDE w:val="0"/>
              <w:autoSpaceDN w:val="0"/>
              <w:adjustRightInd w:val="0"/>
              <w:spacing w:line="276" w:lineRule="auto"/>
              <w:ind w:left="791"/>
              <w:jc w:val="both"/>
              <w:rPr>
                <w:bCs/>
              </w:rPr>
            </w:pPr>
            <w:r w:rsidRPr="00A2114C">
              <w:rPr>
                <w:b/>
                <w:i/>
              </w:rPr>
              <w:t>Se c</w:t>
            </w:r>
            <w:r w:rsidR="00AC5A8E" w:rsidRPr="00A2114C">
              <w:rPr>
                <w:b/>
                <w:i/>
              </w:rPr>
              <w:t>larifică atribuțiile MIPE</w:t>
            </w:r>
            <w:r w:rsidR="00AC5A8E" w:rsidRPr="00A2114C">
              <w:t xml:space="preserve"> și ale coordonatorilor de reformă și/sau investiții în domeniul controlului și recuperării fondurilor europene alocate României prin MRR, </w:t>
            </w:r>
            <w:r w:rsidR="00237BA8" w:rsidRPr="00A2114C">
              <w:t xml:space="preserve">prin modificarea/abrogarea unor prevederi și introducerea unor noi responsabilități în sarcina coordonatorilor de reformă și/sau investiții, </w:t>
            </w:r>
            <w:r w:rsidR="00AC5A8E" w:rsidRPr="00A2114C">
              <w:t>astfel:</w:t>
            </w:r>
          </w:p>
          <w:p w14:paraId="0BDAF4AD" w14:textId="0CB23354" w:rsidR="00004C7C" w:rsidRPr="00A2114C" w:rsidRDefault="00FE0911" w:rsidP="0064057C">
            <w:pPr>
              <w:widowControl w:val="0"/>
              <w:numPr>
                <w:ilvl w:val="0"/>
                <w:numId w:val="24"/>
              </w:numPr>
              <w:autoSpaceDE w:val="0"/>
              <w:autoSpaceDN w:val="0"/>
              <w:adjustRightInd w:val="0"/>
              <w:spacing w:line="276" w:lineRule="auto"/>
              <w:ind w:left="1166" w:hanging="283"/>
              <w:jc w:val="both"/>
              <w:rPr>
                <w:bCs/>
              </w:rPr>
            </w:pPr>
            <w:r w:rsidRPr="00A2114C">
              <w:t>s</w:t>
            </w:r>
            <w:r w:rsidR="00742CE2" w:rsidRPr="00A2114C">
              <w:t xml:space="preserve">e propune completarea prevederilor art. 5 </w:t>
            </w:r>
            <w:r w:rsidR="00854FEE" w:rsidRPr="00A2114C">
              <w:t>alin. (1) lit</w:t>
            </w:r>
            <w:r w:rsidR="00AD1955">
              <w:t>.</w:t>
            </w:r>
            <w:r w:rsidR="00854FEE" w:rsidRPr="00A2114C">
              <w:t xml:space="preserve"> c) </w:t>
            </w:r>
            <w:r w:rsidR="00004C7C" w:rsidRPr="00A2114C">
              <w:t xml:space="preserve">prin completarea </w:t>
            </w:r>
            <w:r w:rsidR="00A775CA" w:rsidRPr="00A2114C">
              <w:t>funcției MIPE</w:t>
            </w:r>
            <w:r w:rsidR="00004C7C" w:rsidRPr="00A2114C">
              <w:rPr>
                <w:rFonts w:eastAsia="Calibri"/>
              </w:rPr>
              <w:t xml:space="preserve"> în sensul particularizării tipurilor de verificări ce urmează a fi efectuate la nivelul structurii de specialitate din cadrul MIPE în vederea emiterii avizului privind legalitatea și regularitatea cheltuielilor declarate de coordonatorii de reformă și/sau investiții.</w:t>
            </w:r>
          </w:p>
          <w:p w14:paraId="4125604D" w14:textId="32B65BF4" w:rsidR="00826F00" w:rsidRPr="0064057C" w:rsidRDefault="00826F00" w:rsidP="0064057C">
            <w:pPr>
              <w:widowControl w:val="0"/>
              <w:numPr>
                <w:ilvl w:val="0"/>
                <w:numId w:val="24"/>
              </w:numPr>
              <w:autoSpaceDE w:val="0"/>
              <w:autoSpaceDN w:val="0"/>
              <w:adjustRightInd w:val="0"/>
              <w:spacing w:line="276" w:lineRule="auto"/>
              <w:ind w:left="1166" w:hanging="283"/>
              <w:jc w:val="both"/>
              <w:rPr>
                <w:bCs/>
              </w:rPr>
            </w:pPr>
            <w:r w:rsidRPr="0064057C">
              <w:rPr>
                <w:bCs/>
              </w:rPr>
              <w:t xml:space="preserve">se </w:t>
            </w:r>
            <w:r w:rsidR="00602C15" w:rsidRPr="0064057C">
              <w:rPr>
                <w:bCs/>
              </w:rPr>
              <w:t xml:space="preserve">propune modificarea art. 5 alin. (1) litera e) prin </w:t>
            </w:r>
            <w:r w:rsidRPr="0064057C">
              <w:rPr>
                <w:bCs/>
              </w:rPr>
              <w:t>elimin</w:t>
            </w:r>
            <w:r w:rsidR="00602C15" w:rsidRPr="0064057C">
              <w:rPr>
                <w:bCs/>
              </w:rPr>
              <w:t>area</w:t>
            </w:r>
            <w:r w:rsidRPr="0064057C">
              <w:rPr>
                <w:bCs/>
              </w:rPr>
              <w:t xml:space="preserve"> din</w:t>
            </w:r>
            <w:r w:rsidR="00AD1955" w:rsidRPr="0064057C">
              <w:rPr>
                <w:bCs/>
              </w:rPr>
              <w:t>tre</w:t>
            </w:r>
            <w:r w:rsidRPr="0064057C">
              <w:rPr>
                <w:bCs/>
              </w:rPr>
              <w:t xml:space="preserve"> atribuțiile MIPE, </w:t>
            </w:r>
            <w:r w:rsidR="00602C15" w:rsidRPr="0064057C">
              <w:rPr>
                <w:bCs/>
              </w:rPr>
              <w:t>a atribuției de c</w:t>
            </w:r>
            <w:r w:rsidRPr="0064057C">
              <w:rPr>
                <w:bCs/>
              </w:rPr>
              <w:t xml:space="preserve">ontrol </w:t>
            </w:r>
            <w:r w:rsidR="00602C15" w:rsidRPr="0064057C">
              <w:rPr>
                <w:bCs/>
              </w:rPr>
              <w:t xml:space="preserve">a </w:t>
            </w:r>
            <w:r w:rsidRPr="0064057C">
              <w:rPr>
                <w:bCs/>
                <w:i/>
              </w:rPr>
              <w:t>conflictului de interese la nivelul procedurilor de achiziţie derulate de beneficiarii privaţi, constatarea şi recuperarea să fie efectuate de către MIPE</w:t>
            </w:r>
            <w:r w:rsidR="0064057C" w:rsidRPr="0064057C">
              <w:rPr>
                <w:bCs/>
                <w:i/>
              </w:rPr>
              <w:t>”</w:t>
            </w:r>
            <w:r w:rsidRPr="0064057C">
              <w:rPr>
                <w:bCs/>
                <w:i/>
              </w:rPr>
              <w:t xml:space="preserve"> </w:t>
            </w:r>
            <w:r w:rsidRPr="0064057C">
              <w:rPr>
                <w:bCs/>
              </w:rPr>
              <w:t>potrivit următoarelor considerente:</w:t>
            </w:r>
          </w:p>
          <w:p w14:paraId="583C6A9E" w14:textId="77777777" w:rsidR="001B42FA" w:rsidRPr="00A2114C" w:rsidRDefault="00826F00" w:rsidP="0064057C">
            <w:pPr>
              <w:pStyle w:val="ListParagraph"/>
              <w:numPr>
                <w:ilvl w:val="0"/>
                <w:numId w:val="24"/>
              </w:numPr>
              <w:spacing w:line="276" w:lineRule="auto"/>
              <w:ind w:left="1329"/>
              <w:jc w:val="both"/>
              <w:rPr>
                <w:rFonts w:ascii="Times New Roman" w:hAnsi="Times New Roman" w:cs="Times New Roman"/>
              </w:rPr>
            </w:pPr>
            <w:r w:rsidRPr="00A2114C">
              <w:rPr>
                <w:rFonts w:ascii="Times New Roman" w:hAnsi="Times New Roman" w:cs="Times New Roman"/>
                <w:bCs/>
              </w:rPr>
              <w:t>c</w:t>
            </w:r>
            <w:r w:rsidRPr="00A2114C">
              <w:rPr>
                <w:rFonts w:ascii="Times New Roman" w:hAnsi="Times New Roman" w:cs="Times New Roman"/>
              </w:rPr>
              <w:t xml:space="preserve">onform O.E.C.D., conflictul de interese implică un conflict între datoria faţă de public şi interesele personale ale unui oficial public. Conflictul de interese apare atunci când interesele </w:t>
            </w:r>
            <w:r w:rsidRPr="00A2114C">
              <w:rPr>
                <w:rFonts w:ascii="Times New Roman" w:hAnsi="Times New Roman" w:cs="Times New Roman"/>
              </w:rPr>
              <w:lastRenderedPageBreak/>
              <w:t>oficialului public ca persoană privată influenţează sau ar putea influenţa necorespunzător îndeplinirea obligaţiilor şi responsabilităţilor oficiale.</w:t>
            </w:r>
          </w:p>
          <w:p w14:paraId="5D352692" w14:textId="0CA4D583" w:rsidR="006E0378" w:rsidRPr="0064057C" w:rsidRDefault="00826F00" w:rsidP="0064057C">
            <w:pPr>
              <w:pStyle w:val="ListParagraph"/>
              <w:numPr>
                <w:ilvl w:val="0"/>
                <w:numId w:val="24"/>
              </w:numPr>
              <w:spacing w:line="276" w:lineRule="auto"/>
              <w:ind w:left="1329"/>
              <w:jc w:val="both"/>
              <w:rPr>
                <w:rFonts w:ascii="Times New Roman" w:hAnsi="Times New Roman" w:cs="Times New Roman"/>
              </w:rPr>
            </w:pPr>
            <w:r w:rsidRPr="00A2114C">
              <w:rPr>
                <w:rFonts w:ascii="Times New Roman" w:hAnsi="Times New Roman" w:cs="Times New Roman"/>
                <w:bCs/>
              </w:rPr>
              <w:t xml:space="preserve">având în vedere cele menționate, si ținând cont de </w:t>
            </w:r>
            <w:r w:rsidRPr="00A2114C">
              <w:rPr>
                <w:rFonts w:ascii="Times New Roman" w:hAnsi="Times New Roman" w:cs="Times New Roman"/>
              </w:rPr>
              <w:t xml:space="preserve">prevederile art. 70 din Legea nr. 161/2003, prin </w:t>
            </w:r>
            <w:r w:rsidRPr="00A2114C">
              <w:rPr>
                <w:rFonts w:ascii="Times New Roman" w:hAnsi="Times New Roman" w:cs="Times New Roman"/>
                <w:i/>
              </w:rPr>
              <w:t>conflict de interese</w:t>
            </w:r>
            <w:r w:rsidRPr="00A2114C">
              <w:rPr>
                <w:rFonts w:ascii="Times New Roman" w:hAnsi="Times New Roman" w:cs="Times New Roman"/>
              </w:rPr>
              <w:t xml:space="preserve"> se înțelege </w:t>
            </w:r>
            <w:r w:rsidRPr="00A2114C">
              <w:rPr>
                <w:rFonts w:ascii="Times New Roman" w:hAnsi="Times New Roman" w:cs="Times New Roman"/>
                <w:i/>
              </w:rPr>
              <w:t>situația în care persoana ce exercită o demnitate publică sau o funcție publică are un interes personal de natură patrimonială, care ar putea influența îndeplinirea cu obiectivitate a atribuțiilor care îi revin potrivit Constituției și altor acte normative</w:t>
            </w:r>
            <w:r w:rsidRPr="00A2114C">
              <w:rPr>
                <w:rFonts w:ascii="Times New Roman" w:hAnsi="Times New Roman" w:cs="Times New Roman"/>
              </w:rPr>
              <w:t>, neexistând o prevedere legală care să definească această posibilă situație între beneficiarii privați, este necesară eliminarea sintagmei din cuprinsul prevederilor legale invocate.</w:t>
            </w:r>
            <w:r w:rsidRPr="0064057C">
              <w:rPr>
                <w:rFonts w:ascii="Times New Roman" w:hAnsi="Times New Roman" w:cs="Times New Roman"/>
              </w:rPr>
              <w:t xml:space="preserve">Se </w:t>
            </w:r>
            <w:r w:rsidR="00DB1085" w:rsidRPr="0064057C">
              <w:rPr>
                <w:rFonts w:ascii="Times New Roman" w:hAnsi="Times New Roman" w:cs="Times New Roman"/>
              </w:rPr>
              <w:t xml:space="preserve">propune modificarea art. 5 alin. (1) lit. h) prin </w:t>
            </w:r>
            <w:r w:rsidRPr="0064057C">
              <w:rPr>
                <w:rFonts w:ascii="Times New Roman" w:hAnsi="Times New Roman" w:cs="Times New Roman"/>
              </w:rPr>
              <w:t>elimin</w:t>
            </w:r>
            <w:r w:rsidR="00DB1085" w:rsidRPr="0064057C">
              <w:rPr>
                <w:rFonts w:ascii="Times New Roman" w:hAnsi="Times New Roman" w:cs="Times New Roman"/>
              </w:rPr>
              <w:t>area</w:t>
            </w:r>
            <w:r w:rsidRPr="0064057C">
              <w:rPr>
                <w:rFonts w:ascii="Times New Roman" w:hAnsi="Times New Roman" w:cs="Times New Roman"/>
              </w:rPr>
              <w:t xml:space="preserve"> din</w:t>
            </w:r>
            <w:r w:rsidR="00AD1955" w:rsidRPr="0064057C">
              <w:rPr>
                <w:rFonts w:ascii="Times New Roman" w:hAnsi="Times New Roman" w:cs="Times New Roman"/>
              </w:rPr>
              <w:t>tre</w:t>
            </w:r>
            <w:r w:rsidRPr="0064057C">
              <w:rPr>
                <w:rFonts w:ascii="Times New Roman" w:hAnsi="Times New Roman" w:cs="Times New Roman"/>
              </w:rPr>
              <w:t xml:space="preserve">atribuțiile MIPE, </w:t>
            </w:r>
            <w:r w:rsidR="007E56C4" w:rsidRPr="0064057C">
              <w:rPr>
                <w:rFonts w:ascii="Times New Roman" w:hAnsi="Times New Roman" w:cs="Times New Roman"/>
              </w:rPr>
              <w:t xml:space="preserve">a atribuției de a </w:t>
            </w:r>
            <w:r w:rsidRPr="0064057C">
              <w:rPr>
                <w:rFonts w:ascii="Times New Roman" w:hAnsi="Times New Roman" w:cs="Times New Roman"/>
              </w:rPr>
              <w:t>realiza verificări ex-ante a procedurilor de achiziție derulate de beneficiarii privați cărora nu le sunt aplicabile prevederile legislației europene și naționale în domeniul achizițiilor publice, având în vedere faptul că ANAP are prerogative legale de a verifica ex-ante procedurile de achiziții publice,  conform prevederilor art. 3 lit. d</w:t>
            </w:r>
            <w:r w:rsidRPr="0064057C">
              <w:rPr>
                <w:rFonts w:ascii="Times New Roman" w:hAnsi="Times New Roman" w:cs="Times New Roman"/>
                <w:vertAlign w:val="superscript"/>
              </w:rPr>
              <w:t>1</w:t>
            </w:r>
            <w:r w:rsidRPr="0064057C">
              <w:rPr>
                <w:rFonts w:ascii="Times New Roman" w:hAnsi="Times New Roman" w:cs="Times New Roman"/>
              </w:rPr>
              <w:t>) din O</w:t>
            </w:r>
            <w:r w:rsidR="006E0378" w:rsidRPr="0064057C">
              <w:rPr>
                <w:rFonts w:ascii="Times New Roman" w:hAnsi="Times New Roman" w:cs="Times New Roman"/>
              </w:rPr>
              <w:t>.</w:t>
            </w:r>
            <w:r w:rsidRPr="0064057C">
              <w:rPr>
                <w:rFonts w:ascii="Times New Roman" w:hAnsi="Times New Roman" w:cs="Times New Roman"/>
              </w:rPr>
              <w:t>U</w:t>
            </w:r>
            <w:r w:rsidR="006E0378" w:rsidRPr="0064057C">
              <w:rPr>
                <w:rFonts w:ascii="Times New Roman" w:hAnsi="Times New Roman" w:cs="Times New Roman"/>
              </w:rPr>
              <w:t>.</w:t>
            </w:r>
            <w:r w:rsidRPr="0064057C">
              <w:rPr>
                <w:rFonts w:ascii="Times New Roman" w:hAnsi="Times New Roman" w:cs="Times New Roman"/>
              </w:rPr>
              <w:t>G</w:t>
            </w:r>
            <w:r w:rsidR="006E0378" w:rsidRPr="0064057C">
              <w:rPr>
                <w:rFonts w:ascii="Times New Roman" w:hAnsi="Times New Roman" w:cs="Times New Roman"/>
              </w:rPr>
              <w:t>.</w:t>
            </w:r>
            <w:r w:rsidRPr="0064057C">
              <w:rPr>
                <w:rFonts w:ascii="Times New Roman" w:hAnsi="Times New Roman" w:cs="Times New Roman"/>
              </w:rPr>
              <w:t xml:space="preserve"> n</w:t>
            </w:r>
            <w:r w:rsidR="006E0378" w:rsidRPr="0064057C">
              <w:rPr>
                <w:rFonts w:ascii="Times New Roman" w:hAnsi="Times New Roman" w:cs="Times New Roman"/>
              </w:rPr>
              <w:t>r.</w:t>
            </w:r>
            <w:r w:rsidRPr="0064057C">
              <w:rPr>
                <w:rFonts w:ascii="Times New Roman" w:hAnsi="Times New Roman" w:cs="Times New Roman"/>
              </w:rPr>
              <w:t xml:space="preserve"> 13/2015. ANAP </w:t>
            </w:r>
            <w:r w:rsidR="006E0378" w:rsidRPr="0064057C">
              <w:rPr>
                <w:rFonts w:ascii="Times New Roman" w:hAnsi="Times New Roman" w:cs="Times New Roman"/>
              </w:rPr>
              <w:t>este</w:t>
            </w:r>
            <w:r w:rsidRPr="0064057C">
              <w:rPr>
                <w:rFonts w:ascii="Times New Roman" w:hAnsi="Times New Roman" w:cs="Times New Roman"/>
              </w:rPr>
              <w:t xml:space="preserve"> instituția publică responsabilă pentru îndeplinirea funcției de control ex-ante al procesului de atribuire a contractelor și, respectiv, a modificărilor acestor contracte</w:t>
            </w:r>
            <w:r w:rsidR="006E0378" w:rsidRPr="0064057C">
              <w:rPr>
                <w:rFonts w:ascii="Times New Roman" w:hAnsi="Times New Roman" w:cs="Times New Roman"/>
              </w:rPr>
              <w:t>;</w:t>
            </w:r>
          </w:p>
          <w:p w14:paraId="2FADC8D6" w14:textId="4DD327EE" w:rsidR="0021681C" w:rsidRPr="00A2114C" w:rsidRDefault="0021681C" w:rsidP="0064057C">
            <w:pPr>
              <w:pStyle w:val="ListParagraph"/>
              <w:numPr>
                <w:ilvl w:val="0"/>
                <w:numId w:val="24"/>
              </w:numPr>
              <w:spacing w:line="276" w:lineRule="auto"/>
              <w:ind w:left="1024" w:right="32" w:hanging="283"/>
              <w:jc w:val="both"/>
              <w:rPr>
                <w:rFonts w:ascii="Times New Roman" w:hAnsi="Times New Roman" w:cs="Times New Roman"/>
              </w:rPr>
            </w:pPr>
            <w:r w:rsidRPr="00A2114C">
              <w:rPr>
                <w:rFonts w:ascii="Times New Roman" w:hAnsi="Times New Roman" w:cs="Times New Roman"/>
              </w:rPr>
              <w:t xml:space="preserve">Se propune modificarea prevederilor art. 5 alin. (3) lit. </w:t>
            </w:r>
            <w:r w:rsidR="00BB4704" w:rsidRPr="00A2114C">
              <w:rPr>
                <w:rFonts w:ascii="Times New Roman" w:hAnsi="Times New Roman" w:cs="Times New Roman"/>
              </w:rPr>
              <w:t>bb), cc) și hh) prin clarificarea atribuțiilor MIPE, în vederea asigurării unei mai clare și succinte verificări. Se propune abrogarea literei dd) pentru a se corela cu prevederile art. 5 alin. (1) litera h);</w:t>
            </w:r>
          </w:p>
          <w:p w14:paraId="0705AF89" w14:textId="7309AE86" w:rsidR="00FC7510" w:rsidRPr="00A2114C" w:rsidRDefault="00FC7510" w:rsidP="0064057C">
            <w:pPr>
              <w:pStyle w:val="ListParagraph"/>
              <w:numPr>
                <w:ilvl w:val="0"/>
                <w:numId w:val="24"/>
              </w:numPr>
              <w:spacing w:line="276" w:lineRule="auto"/>
              <w:ind w:left="1024" w:right="32" w:hanging="283"/>
              <w:jc w:val="both"/>
              <w:rPr>
                <w:rFonts w:ascii="Times New Roman" w:hAnsi="Times New Roman" w:cs="Times New Roman"/>
              </w:rPr>
            </w:pPr>
            <w:r w:rsidRPr="00A2114C">
              <w:rPr>
                <w:rFonts w:ascii="Times New Roman" w:hAnsi="Times New Roman" w:cs="Times New Roman"/>
              </w:rPr>
              <w:t>Se propune completarea articolul 5 alin. (3), prin introducerea unei noi litere, litera h)</w:t>
            </w:r>
            <w:r w:rsidRPr="0064057C">
              <w:rPr>
                <w:rFonts w:ascii="Times New Roman" w:hAnsi="Times New Roman" w:cs="Times New Roman"/>
                <w:vertAlign w:val="superscript"/>
              </w:rPr>
              <w:t>1</w:t>
            </w:r>
            <w:r w:rsidRPr="00A2114C">
              <w:rPr>
                <w:rFonts w:ascii="Times New Roman" w:hAnsi="Times New Roman" w:cs="Times New Roman"/>
              </w:rPr>
              <w:t xml:space="preserve">, în vederea creării cadrului legal pentru emiterea de instrucțiuni de către conducătorul structurii de specialitate a coordonatorului național cu privire la procesul de implementare și control PNRR, în </w:t>
            </w:r>
            <w:r w:rsidR="008522EF" w:rsidRPr="00A2114C">
              <w:rPr>
                <w:rFonts w:ascii="Times New Roman" w:hAnsi="Times New Roman" w:cs="Times New Roman"/>
              </w:rPr>
              <w:t>scopul</w:t>
            </w:r>
            <w:r w:rsidRPr="00A2114C">
              <w:rPr>
                <w:rFonts w:ascii="Times New Roman" w:hAnsi="Times New Roman" w:cs="Times New Roman"/>
              </w:rPr>
              <w:t xml:space="preserve"> asigurării unei bune îndrumări a coordonatorilor de reformă și/sau investiții.</w:t>
            </w:r>
          </w:p>
          <w:p w14:paraId="4ABEA389" w14:textId="38AFC062" w:rsidR="00217C15" w:rsidRPr="00A2114C" w:rsidRDefault="00217C15" w:rsidP="0064057C">
            <w:pPr>
              <w:pStyle w:val="ListParagraph"/>
              <w:numPr>
                <w:ilvl w:val="0"/>
                <w:numId w:val="24"/>
              </w:numPr>
              <w:spacing w:line="276" w:lineRule="auto"/>
              <w:ind w:left="1024" w:right="32" w:hanging="283"/>
              <w:jc w:val="both"/>
              <w:rPr>
                <w:rFonts w:ascii="Times New Roman" w:hAnsi="Times New Roman" w:cs="Times New Roman"/>
              </w:rPr>
            </w:pPr>
            <w:r w:rsidRPr="00A2114C">
              <w:rPr>
                <w:rFonts w:ascii="Times New Roman" w:eastAsia="Calibri" w:hAnsi="Times New Roman" w:cs="Times New Roman"/>
              </w:rPr>
              <w:t>Se propune completarea atribuției prevăzute la art. 5 alin. (3) litera m) în scopul stabilirii tipurilor de verificări ce urmează a fi efectuate la nivelul structurii de specialitate din cadrul MIPE, și a documentelor ce trebuie transmise de coordonatorii de reformă și/sau investiții;</w:t>
            </w:r>
          </w:p>
          <w:p w14:paraId="7450AB47" w14:textId="11F92D44" w:rsidR="00217C15" w:rsidRPr="00A2114C" w:rsidRDefault="00995A36" w:rsidP="0064057C">
            <w:pPr>
              <w:pStyle w:val="ListParagraph"/>
              <w:numPr>
                <w:ilvl w:val="0"/>
                <w:numId w:val="24"/>
              </w:numPr>
              <w:spacing w:line="276" w:lineRule="auto"/>
              <w:ind w:left="1024" w:right="32" w:hanging="283"/>
              <w:jc w:val="both"/>
              <w:rPr>
                <w:rFonts w:ascii="Times New Roman" w:hAnsi="Times New Roman" w:cs="Times New Roman"/>
              </w:rPr>
            </w:pPr>
            <w:r w:rsidRPr="00A2114C">
              <w:rPr>
                <w:rFonts w:ascii="Times New Roman" w:hAnsi="Times New Roman" w:cs="Times New Roman"/>
              </w:rPr>
              <w:t>Se propune completarea atribuțiilor prevăzute la art. 5 alin. (3), prin introducerea unei noi litere, litera m</w:t>
            </w:r>
            <w:r w:rsidRPr="00A2114C">
              <w:rPr>
                <w:rFonts w:ascii="Times New Roman" w:hAnsi="Times New Roman" w:cs="Times New Roman"/>
                <w:vertAlign w:val="superscript"/>
              </w:rPr>
              <w:t>1</w:t>
            </w:r>
            <w:r w:rsidRPr="00A2114C">
              <w:rPr>
                <w:rFonts w:ascii="Times New Roman" w:hAnsi="Times New Roman" w:cs="Times New Roman"/>
              </w:rPr>
              <w:t>), ț</w:t>
            </w:r>
            <w:r w:rsidR="00217C15" w:rsidRPr="00A2114C">
              <w:rPr>
                <w:rFonts w:ascii="Times New Roman" w:hAnsi="Times New Roman" w:cs="Times New Roman"/>
              </w:rPr>
              <w:t xml:space="preserve">inând cont de faptul că în scenariul adoptării prezentelor modificări, MIPE va desfășura un nou tip de activitate, pe care instituția </w:t>
            </w:r>
            <w:r w:rsidR="00BA4F6A" w:rsidRPr="00A2114C">
              <w:rPr>
                <w:rFonts w:ascii="Times New Roman" w:hAnsi="Times New Roman" w:cs="Times New Roman"/>
              </w:rPr>
              <w:t>o</w:t>
            </w:r>
            <w:r w:rsidR="00217C15" w:rsidRPr="00A2114C">
              <w:rPr>
                <w:rFonts w:ascii="Times New Roman" w:hAnsi="Times New Roman" w:cs="Times New Roman"/>
              </w:rPr>
              <w:t xml:space="preserve"> exercită prin intermediul structurii de specialitate, cu cea referitoare la  emiterea de avize pentru cheltuielile declarate de coordonatorii de reforme și/sau investiții precum și cu tipurile de verificări ce urmează a fi realizate anterior emiterii acestor documente</w:t>
            </w:r>
            <w:r w:rsidR="00BA4F6A" w:rsidRPr="00A2114C">
              <w:rPr>
                <w:rFonts w:ascii="Times New Roman" w:hAnsi="Times New Roman" w:cs="Times New Roman"/>
              </w:rPr>
              <w:t> ;</w:t>
            </w:r>
          </w:p>
          <w:p w14:paraId="630963BA" w14:textId="0AF0E3B4" w:rsidR="00D06595" w:rsidRPr="00A2114C" w:rsidRDefault="00AC1E3C" w:rsidP="0064057C">
            <w:pPr>
              <w:pStyle w:val="ListParagraph"/>
              <w:numPr>
                <w:ilvl w:val="0"/>
                <w:numId w:val="24"/>
              </w:numPr>
              <w:spacing w:line="276" w:lineRule="auto"/>
              <w:ind w:left="1024" w:right="32" w:hanging="283"/>
              <w:jc w:val="both"/>
              <w:rPr>
                <w:rFonts w:ascii="Times New Roman" w:hAnsi="Times New Roman" w:cs="Times New Roman"/>
              </w:rPr>
            </w:pPr>
            <w:r w:rsidRPr="00A2114C">
              <w:rPr>
                <w:rFonts w:ascii="Times New Roman" w:hAnsi="Times New Roman" w:cs="Times New Roman"/>
              </w:rPr>
              <w:t>Se propune completarea articolul 5 alin. (3), prin introducerea unei noi litere, litera z)</w:t>
            </w:r>
            <w:r w:rsidRPr="00A2114C">
              <w:rPr>
                <w:rFonts w:ascii="Times New Roman" w:hAnsi="Times New Roman" w:cs="Times New Roman"/>
                <w:vertAlign w:val="superscript"/>
              </w:rPr>
              <w:t>1</w:t>
            </w:r>
            <w:r w:rsidRPr="00A2114C">
              <w:rPr>
                <w:rFonts w:ascii="Times New Roman" w:hAnsi="Times New Roman" w:cs="Times New Roman"/>
              </w:rPr>
              <w:t xml:space="preserve"> în vederea creării cadrului pentru avizarea instrucțiunilor emise de coordonatorii de reformă și/sau investiții cu privire la procesul de implementare și control PNRR, în </w:t>
            </w:r>
            <w:r w:rsidR="00351D39" w:rsidRPr="00A2114C">
              <w:rPr>
                <w:rFonts w:ascii="Times New Roman" w:hAnsi="Times New Roman" w:cs="Times New Roman"/>
              </w:rPr>
              <w:t>scopul</w:t>
            </w:r>
            <w:r w:rsidRPr="00A2114C">
              <w:rPr>
                <w:rFonts w:ascii="Times New Roman" w:hAnsi="Times New Roman" w:cs="Times New Roman"/>
              </w:rPr>
              <w:t xml:space="preserve"> asigurării unei abordări unitare și a unui tratament egal al beneficiarilor/agențiilor de implementare / structurilor de implementare</w:t>
            </w:r>
            <w:r w:rsidR="00400E2D" w:rsidRPr="00A2114C">
              <w:rPr>
                <w:rFonts w:ascii="Times New Roman" w:hAnsi="Times New Roman" w:cs="Times New Roman"/>
              </w:rPr>
              <w:t xml:space="preserve">; </w:t>
            </w:r>
          </w:p>
          <w:p w14:paraId="6B76A4FB" w14:textId="49745128" w:rsidR="00227AC4" w:rsidRDefault="00400E2D" w:rsidP="0064057C">
            <w:pPr>
              <w:pStyle w:val="ListParagraph"/>
              <w:numPr>
                <w:ilvl w:val="0"/>
                <w:numId w:val="24"/>
              </w:numPr>
              <w:spacing w:line="276" w:lineRule="auto"/>
              <w:ind w:left="1024" w:right="32" w:hanging="283"/>
              <w:jc w:val="both"/>
              <w:rPr>
                <w:rFonts w:ascii="Times New Roman" w:hAnsi="Times New Roman" w:cs="Times New Roman"/>
              </w:rPr>
            </w:pPr>
            <w:r w:rsidRPr="00A2114C">
              <w:rPr>
                <w:rFonts w:ascii="Times New Roman" w:hAnsi="Times New Roman" w:cs="Times New Roman"/>
              </w:rPr>
              <w:t xml:space="preserve">Se propune modificarea art. 5 alin. (3)litera ff), în scopul simplificării sarcinilor administrative aflate în responsabilitatea coordonatorilor de reformă și/sau investiții și pentru o eficientizare a procesului de raportare în cadrul MRR, se propune eliminarea estimărilor trimestriale privind sumele ce urmează a fi utilizate pentru implementarea reformelor/investițiilor prevăzute în cadrul PNRR. Astfel, coordonatorii de reformă și/sau investiții vor transmite către coordonatorul </w:t>
            </w:r>
            <w:r w:rsidRPr="00A2114C">
              <w:rPr>
                <w:rFonts w:ascii="Times New Roman" w:hAnsi="Times New Roman" w:cs="Times New Roman"/>
              </w:rPr>
              <w:lastRenderedPageBreak/>
              <w:t>național doar sumele utilizate pentru implementarea reformelor/investițiilor prevăzute în cadrul PNRR</w:t>
            </w:r>
            <w:r w:rsidR="00227AC4" w:rsidRPr="00A2114C">
              <w:rPr>
                <w:rFonts w:ascii="Times New Roman" w:hAnsi="Times New Roman" w:cs="Times New Roman"/>
              </w:rPr>
              <w:t>;</w:t>
            </w:r>
          </w:p>
          <w:p w14:paraId="47628897" w14:textId="6F2DC9F3" w:rsidR="0005099B" w:rsidRPr="00A2114C" w:rsidRDefault="0005099B" w:rsidP="0064057C">
            <w:pPr>
              <w:pStyle w:val="ListParagraph"/>
              <w:numPr>
                <w:ilvl w:val="0"/>
                <w:numId w:val="24"/>
              </w:numPr>
              <w:spacing w:line="276" w:lineRule="auto"/>
              <w:ind w:left="1024" w:right="32" w:hanging="283"/>
              <w:jc w:val="both"/>
              <w:rPr>
                <w:rFonts w:ascii="Times New Roman" w:hAnsi="Times New Roman" w:cs="Times New Roman"/>
              </w:rPr>
            </w:pPr>
            <w:r>
              <w:rPr>
                <w:rFonts w:ascii="Times New Roman" w:hAnsi="Times New Roman" w:cs="Times New Roman"/>
              </w:rPr>
              <w:t>Se propune completarea art. 5 alin (3</w:t>
            </w:r>
            <w:r w:rsidRPr="00D11056">
              <w:rPr>
                <w:rFonts w:ascii="Times New Roman" w:hAnsi="Times New Roman" w:cs="Times New Roman"/>
                <w:vertAlign w:val="superscript"/>
              </w:rPr>
              <w:t>1</w:t>
            </w:r>
            <w:r>
              <w:rPr>
                <w:rFonts w:ascii="Times New Roman" w:hAnsi="Times New Roman" w:cs="Times New Roman"/>
              </w:rPr>
              <w:t xml:space="preserve">) în sensul introducerii de informații </w:t>
            </w:r>
            <w:r w:rsidR="00D11056">
              <w:rPr>
                <w:rFonts w:ascii="Times New Roman" w:hAnsi="Times New Roman" w:cs="Times New Roman"/>
              </w:rPr>
              <w:t xml:space="preserve">în conținutul actului normativ </w:t>
            </w:r>
            <w:r>
              <w:rPr>
                <w:rFonts w:ascii="Times New Roman" w:hAnsi="Times New Roman" w:cs="Times New Roman"/>
              </w:rPr>
              <w:t xml:space="preserve">cu privire la cuantumul </w:t>
            </w:r>
            <w:r w:rsidRPr="00E54ACB">
              <w:rPr>
                <w:rFonts w:ascii="Times New Roman" w:hAnsi="Times New Roman" w:cs="Times New Roman"/>
                <w:bCs/>
              </w:rPr>
              <w:t>finanț</w:t>
            </w:r>
            <w:r>
              <w:rPr>
                <w:rFonts w:ascii="Times New Roman" w:hAnsi="Times New Roman" w:cs="Times New Roman"/>
                <w:bCs/>
              </w:rPr>
              <w:t>ării</w:t>
            </w:r>
            <w:r w:rsidRPr="00E54ACB">
              <w:rPr>
                <w:rFonts w:ascii="Times New Roman" w:hAnsi="Times New Roman" w:cs="Times New Roman"/>
                <w:bCs/>
              </w:rPr>
              <w:t xml:space="preserve"> public</w:t>
            </w:r>
            <w:r>
              <w:rPr>
                <w:rFonts w:ascii="Times New Roman" w:hAnsi="Times New Roman" w:cs="Times New Roman"/>
                <w:bCs/>
              </w:rPr>
              <w:t>e</w:t>
            </w:r>
            <w:r w:rsidRPr="00E54ACB">
              <w:rPr>
                <w:rFonts w:ascii="Times New Roman" w:hAnsi="Times New Roman" w:cs="Times New Roman"/>
                <w:bCs/>
              </w:rPr>
              <w:t xml:space="preserve"> național</w:t>
            </w:r>
            <w:r>
              <w:rPr>
                <w:rFonts w:ascii="Times New Roman" w:hAnsi="Times New Roman" w:cs="Times New Roman"/>
                <w:bCs/>
              </w:rPr>
              <w:t>e și a</w:t>
            </w:r>
            <w:r w:rsidRPr="00E54ACB">
              <w:rPr>
                <w:rFonts w:ascii="Times New Roman" w:hAnsi="Times New Roman" w:cs="Times New Roman"/>
                <w:bCs/>
              </w:rPr>
              <w:t xml:space="preserve"> tax</w:t>
            </w:r>
            <w:r>
              <w:rPr>
                <w:rFonts w:ascii="Times New Roman" w:hAnsi="Times New Roman" w:cs="Times New Roman"/>
                <w:bCs/>
              </w:rPr>
              <w:t>ei</w:t>
            </w:r>
            <w:r w:rsidRPr="00E54ACB">
              <w:rPr>
                <w:rFonts w:ascii="Times New Roman" w:hAnsi="Times New Roman" w:cs="Times New Roman"/>
                <w:bCs/>
              </w:rPr>
              <w:t xml:space="preserve"> pe valoarea adăugată</w:t>
            </w:r>
            <w:r w:rsidR="00864B16">
              <w:rPr>
                <w:rFonts w:ascii="Times New Roman" w:hAnsi="Times New Roman" w:cs="Times New Roman"/>
                <w:bCs/>
              </w:rPr>
              <w:t xml:space="preserve"> în scopul </w:t>
            </w:r>
            <w:r w:rsidR="00244C16">
              <w:rPr>
                <w:rFonts w:ascii="Times New Roman" w:hAnsi="Times New Roman" w:cs="Times New Roman"/>
                <w:bCs/>
              </w:rPr>
              <w:t>obținerii unei imagini cât mai fidele a sumelor totale ce urmează a fi utilizate din asistența financiară acordată în cadrul Mecanismului de Redresare și Reziliență și din surse publice naționale pentru implementarea reformelor și investițiilor prevăzute în PNRR. În acest context este necesară și modificarea în consecință a art 5 alin (3</w:t>
            </w:r>
            <w:r w:rsidR="00244C16" w:rsidRPr="00D11056">
              <w:rPr>
                <w:rFonts w:ascii="Times New Roman" w:hAnsi="Times New Roman" w:cs="Times New Roman"/>
                <w:bCs/>
                <w:vertAlign w:val="superscript"/>
              </w:rPr>
              <w:t>4</w:t>
            </w:r>
            <w:r w:rsidR="00244C16">
              <w:rPr>
                <w:rFonts w:ascii="Times New Roman" w:hAnsi="Times New Roman" w:cs="Times New Roman"/>
                <w:bCs/>
              </w:rPr>
              <w:t>).</w:t>
            </w:r>
          </w:p>
          <w:p w14:paraId="58886A71" w14:textId="77777777" w:rsidR="00E373EB" w:rsidRDefault="00C579A7" w:rsidP="00E373EB">
            <w:pPr>
              <w:pStyle w:val="ListParagraph"/>
              <w:numPr>
                <w:ilvl w:val="0"/>
                <w:numId w:val="24"/>
              </w:numPr>
              <w:spacing w:line="276" w:lineRule="auto"/>
              <w:ind w:left="1024" w:right="32" w:hanging="283"/>
              <w:jc w:val="both"/>
              <w:rPr>
                <w:rFonts w:ascii="Times New Roman" w:hAnsi="Times New Roman" w:cs="Times New Roman"/>
              </w:rPr>
            </w:pPr>
            <w:r w:rsidRPr="00A2114C">
              <w:rPr>
                <w:rFonts w:ascii="Times New Roman" w:hAnsi="Times New Roman" w:cs="Times New Roman"/>
              </w:rPr>
              <w:t>Se propune completarea prevederilor art. 5 alineatul (3</w:t>
            </w:r>
            <w:r w:rsidRPr="00A2114C">
              <w:rPr>
                <w:rFonts w:ascii="Times New Roman" w:hAnsi="Times New Roman" w:cs="Times New Roman"/>
                <w:vertAlign w:val="superscript"/>
              </w:rPr>
              <w:t>6</w:t>
            </w:r>
            <w:r w:rsidRPr="00A2114C">
              <w:rPr>
                <w:rFonts w:ascii="Times New Roman" w:hAnsi="Times New Roman" w:cs="Times New Roman"/>
              </w:rPr>
              <w:t>) cu o nouă teză la final, prin preluarea propunerii formulate de Ministerul de Finanțe, astfel:”Sumele reprezentând plăți din finanțare publică națională și TVA asigurate potrivit prevederilor art. 13 alin. (1) lit. a) și b) rămân cheltuieli definitive ale bugetului de stat;</w:t>
            </w:r>
          </w:p>
          <w:p w14:paraId="44870969" w14:textId="14E2867C" w:rsidR="00E373EB" w:rsidRPr="00E373EB" w:rsidRDefault="00E373EB" w:rsidP="00E373EB">
            <w:pPr>
              <w:pStyle w:val="ListParagraph"/>
              <w:numPr>
                <w:ilvl w:val="0"/>
                <w:numId w:val="24"/>
              </w:numPr>
              <w:spacing w:line="276" w:lineRule="auto"/>
              <w:ind w:left="1024" w:right="32" w:hanging="283"/>
              <w:jc w:val="both"/>
              <w:rPr>
                <w:rFonts w:ascii="Times New Roman" w:hAnsi="Times New Roman" w:cs="Times New Roman"/>
              </w:rPr>
            </w:pPr>
            <w:r w:rsidRPr="00E373EB">
              <w:rPr>
                <w:rFonts w:ascii="Times New Roman" w:hAnsi="Times New Roman" w:cs="Times New Roman"/>
              </w:rPr>
              <w:t xml:space="preserve">Se propune modificarea prevederilor art. 5 alineatul (6), litera a), ca urmare a abrogării Hotărârii </w:t>
            </w:r>
            <w:hyperlink w:history="1">
              <w:r w:rsidRPr="00E373EB">
                <w:rPr>
                  <w:rStyle w:val="Hyperlink"/>
                  <w:rFonts w:ascii="Times New Roman" w:hAnsi="Times New Roman" w:cs="Times New Roman"/>
                  <w:color w:val="auto"/>
                  <w:u w:val="none"/>
                </w:rPr>
                <w:t>plenului Curţii de Conturi nr. 155/2014</w:t>
              </w:r>
            </w:hyperlink>
            <w:r w:rsidRPr="00E373EB">
              <w:rPr>
                <w:rFonts w:ascii="Times New Roman" w:hAnsi="Times New Roman" w:cs="Times New Roman"/>
              </w:rPr>
              <w:t xml:space="preserve"> </w:t>
            </w:r>
            <w:r w:rsidRPr="00E373EB">
              <w:rPr>
                <w:rFonts w:ascii="Times New Roman" w:hAnsi="Times New Roman" w:cs="Times New Roman"/>
                <w:i/>
              </w:rPr>
              <w:t xml:space="preserve">pentru aprobarea </w:t>
            </w:r>
            <w:hyperlink w:history="1">
              <w:r w:rsidRPr="00E373EB">
                <w:rPr>
                  <w:rStyle w:val="Hyperlink"/>
                  <w:rFonts w:ascii="Times New Roman" w:hAnsi="Times New Roman" w:cs="Times New Roman"/>
                  <w:i/>
                  <w:color w:val="auto"/>
                  <w:u w:val="none"/>
                </w:rPr>
                <w:t>Regulamentului</w:t>
              </w:r>
            </w:hyperlink>
            <w:r w:rsidRPr="00E373EB">
              <w:rPr>
                <w:rFonts w:ascii="Times New Roman" w:hAnsi="Times New Roman" w:cs="Times New Roman"/>
                <w:i/>
              </w:rPr>
              <w:t xml:space="preserve"> privind organizarea şi desfăşurarea activităţilor specifice Curţii de Conturi, precum şi valorificarea actelor rezultate din aceste activităţi</w:t>
            </w:r>
            <w:r w:rsidRPr="00E373EB">
              <w:rPr>
                <w:rFonts w:ascii="Times New Roman" w:hAnsi="Times New Roman" w:cs="Times New Roman"/>
              </w:rPr>
              <w:t>, publicată în Monitorul Oficial al României, Partea I, nr. 547 din 24 iulie 2014, cu modificările şi completările ulterioare, prin Hotărâre</w:t>
            </w:r>
            <w:r>
              <w:rPr>
                <w:rFonts w:ascii="Times New Roman" w:hAnsi="Times New Roman" w:cs="Times New Roman"/>
              </w:rPr>
              <w:t>a</w:t>
            </w:r>
            <w:r w:rsidRPr="00E373EB">
              <w:rPr>
                <w:rFonts w:ascii="Times New Roman" w:hAnsi="Times New Roman" w:cs="Times New Roman"/>
              </w:rPr>
              <w:t xml:space="preserve"> plenului Curţii de Conturi nr. 629 din 20 decembrie 2022 pentru aprobarea </w:t>
            </w:r>
            <w:hyperlink w:history="1">
              <w:r w:rsidRPr="00E373EB">
                <w:rPr>
                  <w:rStyle w:val="Hyperlink"/>
                  <w:rFonts w:ascii="Times New Roman" w:hAnsi="Times New Roman" w:cs="Times New Roman"/>
                  <w:color w:val="auto"/>
                  <w:u w:val="none"/>
                </w:rPr>
                <w:t>Regulamentului</w:t>
              </w:r>
            </w:hyperlink>
            <w:r w:rsidRPr="00E373EB">
              <w:rPr>
                <w:rFonts w:ascii="Times New Roman" w:hAnsi="Times New Roman" w:cs="Times New Roman"/>
              </w:rPr>
              <w:t xml:space="preserve"> privind activitatea de audit public extern.</w:t>
            </w:r>
          </w:p>
          <w:p w14:paraId="043D2794" w14:textId="188B8308" w:rsidR="00D06595" w:rsidRDefault="00687FE8" w:rsidP="00BA1894">
            <w:pPr>
              <w:pStyle w:val="ListParagraph"/>
              <w:numPr>
                <w:ilvl w:val="0"/>
                <w:numId w:val="24"/>
              </w:numPr>
              <w:spacing w:line="276" w:lineRule="auto"/>
              <w:ind w:left="1024" w:right="32" w:hanging="283"/>
              <w:jc w:val="both"/>
              <w:rPr>
                <w:rFonts w:ascii="Times New Roman" w:hAnsi="Times New Roman" w:cs="Times New Roman"/>
              </w:rPr>
            </w:pPr>
            <w:r w:rsidRPr="00E373EB">
              <w:rPr>
                <w:rFonts w:ascii="Times New Roman" w:hAnsi="Times New Roman" w:cs="Times New Roman"/>
              </w:rPr>
              <w:t xml:space="preserve">Se propune completarea articolul 5 alin. (8), prin </w:t>
            </w:r>
            <w:r w:rsidRPr="00E373EB">
              <w:rPr>
                <w:rFonts w:ascii="Times New Roman" w:hAnsi="Times New Roman" w:cs="Times New Roman"/>
                <w:bCs/>
                <w:iCs/>
                <w:shd w:val="clear" w:color="auto" w:fill="FFFFFF"/>
              </w:rPr>
              <w:t>introducerea a două noi alineate (8</w:t>
            </w:r>
            <w:r w:rsidRPr="00E373EB">
              <w:rPr>
                <w:rFonts w:ascii="Times New Roman" w:hAnsi="Times New Roman" w:cs="Times New Roman"/>
                <w:bCs/>
                <w:iCs/>
                <w:shd w:val="clear" w:color="auto" w:fill="FFFFFF"/>
                <w:vertAlign w:val="superscript"/>
              </w:rPr>
              <w:t>1</w:t>
            </w:r>
            <w:r w:rsidRPr="00E373EB">
              <w:rPr>
                <w:rFonts w:ascii="Times New Roman" w:hAnsi="Times New Roman" w:cs="Times New Roman"/>
                <w:bCs/>
                <w:iCs/>
                <w:shd w:val="clear" w:color="auto" w:fill="FFFFFF"/>
              </w:rPr>
              <w:t>) și (8</w:t>
            </w:r>
            <w:r w:rsidRPr="00E373EB">
              <w:rPr>
                <w:rFonts w:ascii="Times New Roman" w:hAnsi="Times New Roman" w:cs="Times New Roman"/>
                <w:bCs/>
                <w:iCs/>
                <w:shd w:val="clear" w:color="auto" w:fill="FFFFFF"/>
                <w:vertAlign w:val="superscript"/>
              </w:rPr>
              <w:t>2</w:t>
            </w:r>
            <w:r w:rsidRPr="00E373EB">
              <w:rPr>
                <w:rFonts w:ascii="Times New Roman" w:hAnsi="Times New Roman" w:cs="Times New Roman"/>
                <w:bCs/>
                <w:iCs/>
                <w:shd w:val="clear" w:color="auto" w:fill="FFFFFF"/>
              </w:rPr>
              <w:t>),</w:t>
            </w:r>
            <w:r w:rsidR="00D06595" w:rsidRPr="00E373EB">
              <w:rPr>
                <w:rFonts w:ascii="Times New Roman" w:hAnsi="Times New Roman" w:cs="Times New Roman"/>
                <w:bCs/>
                <w:iCs/>
                <w:shd w:val="clear" w:color="auto" w:fill="FFFFFF"/>
              </w:rPr>
              <w:t xml:space="preserve"> </w:t>
            </w:r>
            <w:r w:rsidR="00D06595" w:rsidRPr="00E373EB">
              <w:rPr>
                <w:rFonts w:ascii="Times New Roman" w:hAnsi="Times New Roman" w:cs="Times New Roman"/>
                <w:bCs/>
              </w:rPr>
              <w:t>în vederea creării cadrului</w:t>
            </w:r>
            <w:r w:rsidR="00D06595" w:rsidRPr="00E373EB">
              <w:rPr>
                <w:rFonts w:ascii="Times New Roman" w:hAnsi="Times New Roman" w:cs="Times New Roman"/>
                <w:bCs/>
                <w:iCs/>
              </w:rPr>
              <w:t xml:space="preserve"> legal, prin </w:t>
            </w:r>
            <w:r w:rsidR="00D06595" w:rsidRPr="00E373EB">
              <w:rPr>
                <w:rFonts w:ascii="Times New Roman" w:hAnsi="Times New Roman" w:cs="Times New Roman"/>
              </w:rPr>
              <w:t>ordin al ministrului investițiilor și proiectelor europene și al președintelui Agenției Naționale pentru Achiziții Publice pentru aprobarea procedurii de achiziție aplicabilă beneficiarilor privați pentru atribuirea contractelor de furnizare de produse, prestare de servicii, execuție de lucrări finanțate din fondurile externe nerambursabile și rambursabile aferente Mecanismului de Redresare și Reziliență, alocate prin Planul Național de Redresare și Reziliență;</w:t>
            </w:r>
          </w:p>
          <w:p w14:paraId="3B2E7C69" w14:textId="77777777" w:rsidR="00303141" w:rsidRPr="00E373EB" w:rsidRDefault="00303141" w:rsidP="00303141">
            <w:pPr>
              <w:pStyle w:val="ListParagraph"/>
              <w:spacing w:line="276" w:lineRule="auto"/>
              <w:ind w:left="1024" w:right="32"/>
              <w:jc w:val="both"/>
              <w:rPr>
                <w:rFonts w:ascii="Times New Roman" w:hAnsi="Times New Roman" w:cs="Times New Roman"/>
              </w:rPr>
            </w:pPr>
          </w:p>
          <w:p w14:paraId="1EE6DCAE" w14:textId="3AFE3E56" w:rsidR="00FC7510" w:rsidRPr="00A2114C" w:rsidRDefault="000E3604" w:rsidP="0064057C">
            <w:pPr>
              <w:pStyle w:val="ListParagraph"/>
              <w:numPr>
                <w:ilvl w:val="0"/>
                <w:numId w:val="24"/>
              </w:numPr>
              <w:spacing w:line="276" w:lineRule="auto"/>
              <w:ind w:left="1024" w:right="32" w:hanging="283"/>
              <w:jc w:val="both"/>
              <w:rPr>
                <w:rFonts w:ascii="Times New Roman" w:hAnsi="Times New Roman" w:cs="Times New Roman"/>
              </w:rPr>
            </w:pPr>
            <w:r w:rsidRPr="00FC072A">
              <w:rPr>
                <w:rFonts w:ascii="Times New Roman" w:hAnsi="Times New Roman" w:cs="Times New Roman"/>
                <w:b/>
              </w:rPr>
              <w:t>Se propune modificarea și completarea dispozițiilor art. 6 din ordonanț</w:t>
            </w:r>
            <w:r w:rsidR="00F02266">
              <w:rPr>
                <w:rFonts w:ascii="Times New Roman" w:hAnsi="Times New Roman" w:cs="Times New Roman"/>
                <w:b/>
              </w:rPr>
              <w:t>a de urgență</w:t>
            </w:r>
            <w:r w:rsidRPr="00FC072A">
              <w:rPr>
                <w:rFonts w:ascii="Times New Roman" w:hAnsi="Times New Roman" w:cs="Times New Roman"/>
                <w:b/>
              </w:rPr>
              <w:t xml:space="preserve">, </w:t>
            </w:r>
            <w:r w:rsidR="00DE07CB" w:rsidRPr="00FC072A">
              <w:rPr>
                <w:rFonts w:ascii="Times New Roman" w:hAnsi="Times New Roman" w:cs="Times New Roman"/>
                <w:b/>
              </w:rPr>
              <w:t xml:space="preserve">în privința clarificării atribuțiilor principale ce le revin instituțiilor cu </w:t>
            </w:r>
            <w:r w:rsidR="00F4799C" w:rsidRPr="00FC072A">
              <w:rPr>
                <w:rFonts w:ascii="Times New Roman" w:hAnsi="Times New Roman" w:cs="Times New Roman"/>
                <w:b/>
              </w:rPr>
              <w:t>atribuții</w:t>
            </w:r>
            <w:r w:rsidR="00DE07CB" w:rsidRPr="00FC072A">
              <w:rPr>
                <w:rFonts w:ascii="Times New Roman" w:hAnsi="Times New Roman" w:cs="Times New Roman"/>
                <w:b/>
              </w:rPr>
              <w:t xml:space="preserve"> în coordonarea, gestionarea şi controlul fondurilor acordate în cadrul Mecanismului de redresare şi </w:t>
            </w:r>
            <w:r w:rsidR="00F4799C" w:rsidRPr="00FC072A">
              <w:rPr>
                <w:rFonts w:ascii="Times New Roman" w:hAnsi="Times New Roman" w:cs="Times New Roman"/>
                <w:b/>
              </w:rPr>
              <w:t>reziliență</w:t>
            </w:r>
            <w:r w:rsidR="00DE07CB" w:rsidRPr="00A2114C">
              <w:rPr>
                <w:rFonts w:ascii="Times New Roman" w:hAnsi="Times New Roman" w:cs="Times New Roman"/>
              </w:rPr>
              <w:t xml:space="preserve"> cu privire la implementarea reformelor şi </w:t>
            </w:r>
            <w:r w:rsidR="00F4799C" w:rsidRPr="00A2114C">
              <w:rPr>
                <w:rFonts w:ascii="Times New Roman" w:hAnsi="Times New Roman" w:cs="Times New Roman"/>
              </w:rPr>
              <w:t>investițiilor</w:t>
            </w:r>
            <w:r w:rsidR="00DE07CB" w:rsidRPr="00A2114C">
              <w:rPr>
                <w:rFonts w:ascii="Times New Roman" w:hAnsi="Times New Roman" w:cs="Times New Roman"/>
              </w:rPr>
              <w:t xml:space="preserve">, astfel: </w:t>
            </w:r>
          </w:p>
          <w:p w14:paraId="23A62DC6" w14:textId="0B2761F6" w:rsidR="00E36653" w:rsidRPr="00A2114C" w:rsidRDefault="002E2135" w:rsidP="0064057C">
            <w:pPr>
              <w:pStyle w:val="ListParagraph"/>
              <w:numPr>
                <w:ilvl w:val="0"/>
                <w:numId w:val="24"/>
              </w:numPr>
              <w:spacing w:line="276" w:lineRule="auto"/>
              <w:ind w:left="1329" w:right="32"/>
              <w:jc w:val="both"/>
              <w:rPr>
                <w:rFonts w:ascii="Times New Roman" w:hAnsi="Times New Roman" w:cs="Times New Roman"/>
              </w:rPr>
            </w:pPr>
            <w:r w:rsidRPr="00A2114C">
              <w:rPr>
                <w:rFonts w:ascii="Times New Roman" w:hAnsi="Times New Roman" w:cs="Times New Roman"/>
              </w:rPr>
              <w:t>Se propune completarea art. 6 alin. (1)</w:t>
            </w:r>
            <w:r w:rsidRPr="00A2114C">
              <w:rPr>
                <w:rFonts w:ascii="Times New Roman" w:hAnsi="Times New Roman" w:cs="Times New Roman"/>
                <w:bCs/>
              </w:rPr>
              <w:t>, prin introducerea unei noi litere, litera g</w:t>
            </w:r>
            <w:r w:rsidRPr="00A2114C">
              <w:rPr>
                <w:rFonts w:ascii="Times New Roman" w:hAnsi="Times New Roman" w:cs="Times New Roman"/>
                <w:bCs/>
                <w:vertAlign w:val="superscript"/>
              </w:rPr>
              <w:t>1</w:t>
            </w:r>
            <w:r w:rsidRPr="00A2114C">
              <w:rPr>
                <w:rFonts w:ascii="Times New Roman" w:hAnsi="Times New Roman" w:cs="Times New Roman"/>
                <w:bCs/>
              </w:rPr>
              <w:t xml:space="preserve">), </w:t>
            </w:r>
            <w:r w:rsidRPr="00A2114C">
              <w:rPr>
                <w:rFonts w:ascii="Times New Roman" w:hAnsi="Times New Roman" w:cs="Times New Roman"/>
              </w:rPr>
              <w:t>în vederea creării cadrului legal pentru asigurarea prevenirii fraudei și corupției, aplicabilă la nivelul  tuturor coordonatorilor de reformă și/sau investiții, fără de care nu pot fi îndeplinite cerințele art. 22alin. (2) lit. (a) din Regulamentul (UE) nr. 241/2022</w:t>
            </w:r>
            <w:r w:rsidR="00C57805" w:rsidRPr="00A2114C">
              <w:rPr>
                <w:rFonts w:ascii="Times New Roman" w:hAnsi="Times New Roman" w:cs="Times New Roman"/>
              </w:rPr>
              <w:t>;</w:t>
            </w:r>
          </w:p>
          <w:p w14:paraId="0BAF36CB" w14:textId="0D2A7391" w:rsidR="00E36653" w:rsidRPr="00A2114C" w:rsidRDefault="00E36653" w:rsidP="0064057C">
            <w:pPr>
              <w:pStyle w:val="ListParagraph"/>
              <w:numPr>
                <w:ilvl w:val="0"/>
                <w:numId w:val="24"/>
              </w:numPr>
              <w:spacing w:line="276" w:lineRule="auto"/>
              <w:ind w:left="1329" w:right="32"/>
              <w:jc w:val="both"/>
              <w:rPr>
                <w:rFonts w:ascii="Times New Roman" w:hAnsi="Times New Roman" w:cs="Times New Roman"/>
              </w:rPr>
            </w:pPr>
            <w:r w:rsidRPr="00A2114C">
              <w:rPr>
                <w:rFonts w:ascii="Times New Roman" w:hAnsi="Times New Roman" w:cs="Times New Roman"/>
              </w:rPr>
              <w:t>Se propune completarea art. 6 alin. (1)</w:t>
            </w:r>
            <w:r w:rsidRPr="00A2114C">
              <w:rPr>
                <w:rFonts w:ascii="Times New Roman" w:hAnsi="Times New Roman" w:cs="Times New Roman"/>
                <w:bCs/>
              </w:rPr>
              <w:t>, prin introducerea unei noi litere, litera k)</w:t>
            </w:r>
            <w:r w:rsidRPr="00A2114C">
              <w:rPr>
                <w:rFonts w:ascii="Times New Roman" w:hAnsi="Times New Roman" w:cs="Times New Roman"/>
                <w:bCs/>
                <w:vertAlign w:val="superscript"/>
              </w:rPr>
              <w:t>1</w:t>
            </w:r>
            <w:r w:rsidRPr="00A2114C">
              <w:rPr>
                <w:rFonts w:ascii="Times New Roman" w:hAnsi="Times New Roman" w:cs="Times New Roman"/>
                <w:bCs/>
              </w:rPr>
              <w:t xml:space="preserve"> în vederea creării cadrului legal </w:t>
            </w:r>
            <w:r w:rsidRPr="00A2114C">
              <w:rPr>
                <w:rFonts w:ascii="Times New Roman" w:eastAsia="Trebuchet MS" w:hAnsi="Times New Roman" w:cs="Times New Roman"/>
                <w:bCs/>
              </w:rPr>
              <w:t xml:space="preserve">pentru </w:t>
            </w:r>
            <w:r w:rsidRPr="00A2114C">
              <w:rPr>
                <w:rFonts w:ascii="Times New Roman" w:hAnsi="Times New Roman" w:cs="Times New Roman"/>
              </w:rPr>
              <w:t>emiterea de instrucțiuni de către coordonatorii de reformă și sau investiții, cu avizul MIPE,</w:t>
            </w:r>
            <w:r w:rsidRPr="00A2114C">
              <w:rPr>
                <w:sz w:val="20"/>
                <w:szCs w:val="20"/>
              </w:rPr>
              <w:t xml:space="preserve"> </w:t>
            </w:r>
            <w:r w:rsidRPr="00A2114C">
              <w:rPr>
                <w:rFonts w:ascii="Times New Roman" w:hAnsi="Times New Roman" w:cs="Times New Roman"/>
              </w:rPr>
              <w:t>cu privire la procesul de implementare și control PNRR, în vederea asigurării unei abordări unitare și a unui tratament egal al beneficiarilor/agențiilor de implementare / structurilor de implementare</w:t>
            </w:r>
            <w:r w:rsidR="00D631B5" w:rsidRPr="00A2114C">
              <w:rPr>
                <w:rFonts w:ascii="Times New Roman" w:hAnsi="Times New Roman" w:cs="Times New Roman"/>
              </w:rPr>
              <w:t>;</w:t>
            </w:r>
          </w:p>
          <w:p w14:paraId="30A032AE" w14:textId="00E5D9FC" w:rsidR="00954B14" w:rsidRPr="00A2114C" w:rsidRDefault="00954B14" w:rsidP="0064057C">
            <w:pPr>
              <w:pStyle w:val="ListParagraph"/>
              <w:numPr>
                <w:ilvl w:val="0"/>
                <w:numId w:val="24"/>
              </w:numPr>
              <w:spacing w:line="276" w:lineRule="auto"/>
              <w:ind w:left="1329" w:right="32"/>
              <w:jc w:val="both"/>
              <w:rPr>
                <w:rFonts w:ascii="Times New Roman" w:hAnsi="Times New Roman" w:cs="Times New Roman"/>
              </w:rPr>
            </w:pPr>
            <w:r w:rsidRPr="00A2114C">
              <w:rPr>
                <w:rFonts w:ascii="Times New Roman" w:hAnsi="Times New Roman" w:cs="Times New Roman"/>
              </w:rPr>
              <w:t>Se propune modificarea art. 6 alin. (1) litera p),</w:t>
            </w:r>
            <w:r w:rsidR="009158F1" w:rsidRPr="00A2114C">
              <w:rPr>
                <w:rFonts w:ascii="Times New Roman" w:hAnsi="Times New Roman" w:cs="Times New Roman"/>
              </w:rPr>
              <w:t xml:space="preserve"> în scopul simplificării sarcinilor administrative aflate în responsabilitatea coordonatorilor de reformă și/sau investiții și pentru o eficientizare </w:t>
            </w:r>
            <w:r w:rsidR="009158F1" w:rsidRPr="00A2114C">
              <w:rPr>
                <w:rFonts w:ascii="Times New Roman" w:hAnsi="Times New Roman" w:cs="Times New Roman"/>
              </w:rPr>
              <w:lastRenderedPageBreak/>
              <w:t>a procesului de raportare în cadrul MRR, se propune eliminarea estimărilor trimestriale privind sumele ce urmează a fi utilizate pentru implementarea reformelor/investițiilor prevăzute în cadrul PNRR. Astfel în scenariul adoptării prezentelor modificări, coordonatorii de reformă și/sau investiții vor transmite către coordonatorul național doar sumele utilizate pentru implementarea reformelor/investițiilor prevăzute în cadrul PNRR;</w:t>
            </w:r>
          </w:p>
          <w:p w14:paraId="7FD732DE" w14:textId="0CE85431" w:rsidR="002E2135" w:rsidRPr="00A2114C" w:rsidRDefault="00824077" w:rsidP="0064057C">
            <w:pPr>
              <w:pStyle w:val="ListParagraph"/>
              <w:numPr>
                <w:ilvl w:val="0"/>
                <w:numId w:val="24"/>
              </w:numPr>
              <w:spacing w:line="276" w:lineRule="auto"/>
              <w:ind w:left="1329" w:right="32"/>
              <w:jc w:val="both"/>
              <w:rPr>
                <w:rFonts w:ascii="Times New Roman" w:hAnsi="Times New Roman" w:cs="Times New Roman"/>
              </w:rPr>
            </w:pPr>
            <w:r w:rsidRPr="00A2114C">
              <w:rPr>
                <w:rFonts w:ascii="Times New Roman" w:hAnsi="Times New Roman" w:cs="Times New Roman"/>
              </w:rPr>
              <w:t>Se propune completarea art. 6 alin. (1), prin introducerea unei noi litere, litera p</w:t>
            </w:r>
            <w:r w:rsidR="00BF1569" w:rsidRPr="00A2114C">
              <w:rPr>
                <w:rFonts w:ascii="Times New Roman" w:hAnsi="Times New Roman" w:cs="Times New Roman"/>
                <w:vertAlign w:val="superscript"/>
              </w:rPr>
              <w:t>1</w:t>
            </w:r>
            <w:r w:rsidRPr="00A2114C">
              <w:rPr>
                <w:rFonts w:ascii="Times New Roman" w:hAnsi="Times New Roman" w:cs="Times New Roman"/>
              </w:rPr>
              <w:t>), în vederea clarificării atribuțiilor coordonatorilor de reformă și/sau investiții, prin care se creaza obligativitatea acestora de a transm</w:t>
            </w:r>
            <w:r w:rsidR="00BF1569" w:rsidRPr="00A2114C">
              <w:rPr>
                <w:rFonts w:ascii="Times New Roman" w:hAnsi="Times New Roman" w:cs="Times New Roman"/>
              </w:rPr>
              <w:t>i</w:t>
            </w:r>
            <w:r w:rsidRPr="00A2114C">
              <w:rPr>
                <w:rFonts w:ascii="Times New Roman" w:hAnsi="Times New Roman" w:cs="Times New Roman"/>
              </w:rPr>
              <w:t>te către MIPE documentatia justificativa aferenta cheltuielilor raportate</w:t>
            </w:r>
            <w:r w:rsidR="00BF1569" w:rsidRPr="00A2114C">
              <w:rPr>
                <w:rFonts w:ascii="Times New Roman" w:hAnsi="Times New Roman" w:cs="Times New Roman"/>
              </w:rPr>
              <w:t xml:space="preserve">, și de a încarca în sistemul informatic integrat de management și control al PNRR toate documentele aferente procedurilor de achizitie, inclusiv rapoartele ex post de verificare a acestora, în vederea obținerii avizului prevăzut la art </w:t>
            </w:r>
            <w:r w:rsidR="00F02266">
              <w:rPr>
                <w:rFonts w:ascii="Times New Roman" w:hAnsi="Times New Roman" w:cs="Times New Roman"/>
              </w:rPr>
              <w:t>.</w:t>
            </w:r>
            <w:r w:rsidR="00BF1569" w:rsidRPr="00A2114C">
              <w:rPr>
                <w:rFonts w:ascii="Times New Roman" w:hAnsi="Times New Roman" w:cs="Times New Roman"/>
              </w:rPr>
              <w:t>5 alin</w:t>
            </w:r>
            <w:r w:rsidR="00F02266">
              <w:rPr>
                <w:rFonts w:ascii="Times New Roman" w:hAnsi="Times New Roman" w:cs="Times New Roman"/>
              </w:rPr>
              <w:t>.</w:t>
            </w:r>
            <w:r w:rsidR="00BF1569" w:rsidRPr="00A2114C">
              <w:rPr>
                <w:rFonts w:ascii="Times New Roman" w:hAnsi="Times New Roman" w:cs="Times New Roman"/>
              </w:rPr>
              <w:t xml:space="preserve"> (3) </w:t>
            </w:r>
            <w:r w:rsidR="00F02266">
              <w:rPr>
                <w:rFonts w:ascii="Times New Roman" w:hAnsi="Times New Roman" w:cs="Times New Roman"/>
              </w:rPr>
              <w:t>lit.</w:t>
            </w:r>
            <w:r w:rsidR="00BF1569" w:rsidRPr="00A2114C">
              <w:rPr>
                <w:rFonts w:ascii="Times New Roman" w:hAnsi="Times New Roman" w:cs="Times New Roman"/>
              </w:rPr>
              <w:t xml:space="preserve"> m</w:t>
            </w:r>
            <w:r w:rsidR="00CF6C5C" w:rsidRPr="00A2114C">
              <w:rPr>
                <w:rFonts w:ascii="Times New Roman" w:hAnsi="Times New Roman" w:cs="Times New Roman"/>
                <w:vertAlign w:val="superscript"/>
              </w:rPr>
              <w:t>1</w:t>
            </w:r>
            <w:r w:rsidR="00BF1569" w:rsidRPr="00A2114C">
              <w:rPr>
                <w:rFonts w:ascii="Times New Roman" w:hAnsi="Times New Roman" w:cs="Times New Roman"/>
              </w:rPr>
              <w:t>);</w:t>
            </w:r>
          </w:p>
          <w:p w14:paraId="20BFA077" w14:textId="42CDCD2B" w:rsidR="009E07F3" w:rsidRPr="00A2114C" w:rsidRDefault="009E07F3" w:rsidP="0064057C">
            <w:pPr>
              <w:pStyle w:val="ListParagraph"/>
              <w:numPr>
                <w:ilvl w:val="0"/>
                <w:numId w:val="24"/>
              </w:numPr>
              <w:spacing w:line="276" w:lineRule="auto"/>
              <w:ind w:left="1329" w:right="32"/>
              <w:jc w:val="both"/>
              <w:rPr>
                <w:rFonts w:ascii="Times New Roman" w:hAnsi="Times New Roman" w:cs="Times New Roman"/>
              </w:rPr>
            </w:pPr>
            <w:r w:rsidRPr="00A2114C">
              <w:rPr>
                <w:rFonts w:ascii="Times New Roman" w:hAnsi="Times New Roman" w:cs="Times New Roman"/>
              </w:rPr>
              <w:t>Se propune modificarea art. 6 alin. (1) lit. o)</w:t>
            </w:r>
            <w:r w:rsidR="00D631B5" w:rsidRPr="00A2114C">
              <w:rPr>
                <w:rFonts w:ascii="Times New Roman" w:hAnsi="Times New Roman" w:cs="Times New Roman"/>
              </w:rPr>
              <w:t xml:space="preserve"> și s), </w:t>
            </w:r>
            <w:r w:rsidR="00AA37DC" w:rsidRPr="00A2114C">
              <w:rPr>
                <w:rFonts w:ascii="Times New Roman" w:hAnsi="Times New Roman" w:cs="Times New Roman"/>
              </w:rPr>
              <w:t xml:space="preserve">pentru unitate terminologică, </w:t>
            </w:r>
            <w:r w:rsidRPr="00A2114C">
              <w:rPr>
                <w:rFonts w:ascii="Times New Roman" w:hAnsi="Times New Roman" w:cs="Times New Roman"/>
              </w:rPr>
              <w:t xml:space="preserve">în sensul </w:t>
            </w:r>
            <w:r w:rsidR="00AA37DC" w:rsidRPr="00A2114C">
              <w:rPr>
                <w:rFonts w:ascii="Times New Roman" w:hAnsi="Times New Roman" w:cs="Times New Roman"/>
              </w:rPr>
              <w:t xml:space="preserve">utilizării corecte a sintagmei </w:t>
            </w:r>
            <w:r w:rsidR="00AA37DC" w:rsidRPr="00A2114C">
              <w:rPr>
                <w:rFonts w:ascii="Times New Roman" w:hAnsi="Times New Roman" w:cs="Times New Roman"/>
                <w:i/>
              </w:rPr>
              <w:t>sistemul informatic de management și control  al PNRR</w:t>
            </w:r>
            <w:r w:rsidR="0072345C" w:rsidRPr="00A2114C">
              <w:rPr>
                <w:rFonts w:ascii="Times New Roman" w:hAnsi="Times New Roman" w:cs="Times New Roman"/>
              </w:rPr>
              <w:t>;</w:t>
            </w:r>
          </w:p>
          <w:p w14:paraId="03D2C838" w14:textId="70EE6537" w:rsidR="005E0701" w:rsidRPr="00A2114C" w:rsidRDefault="00AF4F24" w:rsidP="0064057C">
            <w:pPr>
              <w:pStyle w:val="ListParagraph"/>
              <w:numPr>
                <w:ilvl w:val="0"/>
                <w:numId w:val="24"/>
              </w:numPr>
              <w:spacing w:line="276" w:lineRule="auto"/>
              <w:ind w:left="1329" w:right="32"/>
              <w:jc w:val="both"/>
              <w:rPr>
                <w:rFonts w:ascii="Times New Roman" w:hAnsi="Times New Roman" w:cs="Times New Roman"/>
              </w:rPr>
            </w:pPr>
            <w:r w:rsidRPr="00A2114C">
              <w:rPr>
                <w:rFonts w:ascii="Times New Roman" w:hAnsi="Times New Roman" w:cs="Times New Roman"/>
              </w:rPr>
              <w:t xml:space="preserve">Se propune modificarea art. 6 lit. alin. (1), lit. q), </w:t>
            </w:r>
            <w:r w:rsidR="00C60818" w:rsidRPr="00A2114C">
              <w:rPr>
                <w:rFonts w:ascii="Times New Roman" w:hAnsi="Times New Roman" w:cs="Times New Roman"/>
              </w:rPr>
              <w:t xml:space="preserve">astfel încât </w:t>
            </w:r>
            <w:r w:rsidR="00C60818" w:rsidRPr="00A2114C">
              <w:rPr>
                <w:rFonts w:ascii="Times New Roman" w:eastAsia="Trebuchet MS" w:hAnsi="Times New Roman" w:cs="Times New Roman"/>
                <w:bCs/>
              </w:rPr>
              <w:t>coordonatorii de reformă și/sau investiții vor avea obligația să transmită la MF solicitările de fonduri însoțite obligatoriu de avizul MIPE. Avizul reprezintă în fapt garanția efectuării anumitor verificări  asupra sumelor solicitate de coordonatorii de reformă și/sau investiții și astfel sunt create premisele pentru îmbunătățirea mecanismelor de verificare și control în cadrul MRR</w:t>
            </w:r>
            <w:r w:rsidRPr="00A2114C">
              <w:rPr>
                <w:rFonts w:ascii="Times New Roman" w:hAnsi="Times New Roman" w:cs="Times New Roman"/>
              </w:rPr>
              <w:t>;</w:t>
            </w:r>
          </w:p>
          <w:p w14:paraId="24006FB0" w14:textId="6C44C9ED" w:rsidR="005E0701" w:rsidRPr="00A2114C" w:rsidRDefault="005E0701" w:rsidP="0064057C">
            <w:pPr>
              <w:pStyle w:val="ListParagraph"/>
              <w:numPr>
                <w:ilvl w:val="0"/>
                <w:numId w:val="24"/>
              </w:numPr>
              <w:spacing w:line="276" w:lineRule="auto"/>
              <w:ind w:left="1329" w:right="32"/>
              <w:jc w:val="both"/>
              <w:rPr>
                <w:rFonts w:ascii="Times New Roman" w:hAnsi="Times New Roman" w:cs="Times New Roman"/>
              </w:rPr>
            </w:pPr>
            <w:r w:rsidRPr="00A2114C">
              <w:rPr>
                <w:rFonts w:ascii="Times New Roman" w:hAnsi="Times New Roman" w:cs="Times New Roman"/>
              </w:rPr>
              <w:t xml:space="preserve">Se propune modificarea prevederilor art. 6 alin. (1), litera z), în sensul realizării de verificări </w:t>
            </w:r>
            <w:r w:rsidRPr="00A2114C">
              <w:rPr>
                <w:rFonts w:ascii="Times New Roman" w:hAnsi="Times New Roman" w:cs="Times New Roman"/>
                <w:i/>
              </w:rPr>
              <w:t>ex post</w:t>
            </w:r>
            <w:r w:rsidRPr="00A2114C">
              <w:rPr>
                <w:rFonts w:ascii="Times New Roman" w:hAnsi="Times New Roman" w:cs="Times New Roman"/>
              </w:rPr>
              <w:t xml:space="preserve"> a procedurilor de achiziții publice, de către coordonatorii de reformă și/sau investiții, cu obligația de a se asigura de încărcarea în sistemul informatic de management și control al PNRR a raportului de verificare elaborat de MIPE”. Verificarea de achiziții și emiterea de avize în etapa </w:t>
            </w:r>
            <w:r w:rsidRPr="00A2114C">
              <w:rPr>
                <w:rFonts w:ascii="Times New Roman" w:hAnsi="Times New Roman" w:cs="Times New Roman"/>
                <w:i/>
              </w:rPr>
              <w:t>ex-ante</w:t>
            </w:r>
            <w:r w:rsidRPr="00A2114C">
              <w:rPr>
                <w:rFonts w:ascii="Times New Roman" w:hAnsi="Times New Roman" w:cs="Times New Roman"/>
              </w:rPr>
              <w:t xml:space="preserve"> a procedurilor de achiziții publice rămâne </w:t>
            </w:r>
            <w:r w:rsidR="00F02266">
              <w:rPr>
                <w:rFonts w:ascii="Times New Roman" w:hAnsi="Times New Roman" w:cs="Times New Roman"/>
              </w:rPr>
              <w:t>î</w:t>
            </w:r>
            <w:r w:rsidRPr="00A2114C">
              <w:rPr>
                <w:rFonts w:ascii="Times New Roman" w:hAnsi="Times New Roman" w:cs="Times New Roman"/>
              </w:rPr>
              <w:t>n sarcina ANAP, conform legislației în vigoare.</w:t>
            </w:r>
          </w:p>
          <w:p w14:paraId="7C25E1A8" w14:textId="3A46BA53" w:rsidR="007022F9" w:rsidRPr="00A2114C" w:rsidRDefault="00DE16B5" w:rsidP="0064057C">
            <w:pPr>
              <w:pStyle w:val="ListParagraph"/>
              <w:numPr>
                <w:ilvl w:val="0"/>
                <w:numId w:val="24"/>
              </w:numPr>
              <w:spacing w:line="276" w:lineRule="auto"/>
              <w:ind w:left="1329" w:right="32"/>
              <w:jc w:val="both"/>
              <w:rPr>
                <w:rFonts w:ascii="Times New Roman" w:hAnsi="Times New Roman" w:cs="Times New Roman"/>
              </w:rPr>
            </w:pPr>
            <w:r w:rsidRPr="00A2114C">
              <w:rPr>
                <w:rFonts w:ascii="Times New Roman" w:hAnsi="Times New Roman" w:cs="Times New Roman"/>
              </w:rPr>
              <w:t>Se propune completarea prevederilor art. 6</w:t>
            </w:r>
            <w:r w:rsidRPr="00A2114C">
              <w:rPr>
                <w:rFonts w:ascii="Times New Roman" w:hAnsi="Times New Roman" w:cs="Times New Roman"/>
                <w:bCs/>
              </w:rPr>
              <w:t xml:space="preserve"> alin. (1) prin introducerea a </w:t>
            </w:r>
            <w:r w:rsidR="00D631B5" w:rsidRPr="00A2114C">
              <w:rPr>
                <w:rFonts w:ascii="Times New Roman" w:hAnsi="Times New Roman" w:cs="Times New Roman"/>
                <w:bCs/>
              </w:rPr>
              <w:t>cinci</w:t>
            </w:r>
            <w:r w:rsidRPr="00A2114C">
              <w:rPr>
                <w:rFonts w:ascii="Times New Roman" w:hAnsi="Times New Roman" w:cs="Times New Roman"/>
                <w:bCs/>
              </w:rPr>
              <w:t xml:space="preserve"> noi litere, litera aa), bb), cc)</w:t>
            </w:r>
            <w:r w:rsidR="00D631B5" w:rsidRPr="00A2114C">
              <w:rPr>
                <w:rFonts w:ascii="Times New Roman" w:hAnsi="Times New Roman" w:cs="Times New Roman"/>
                <w:bCs/>
              </w:rPr>
              <w:t xml:space="preserve">, </w:t>
            </w:r>
            <w:r w:rsidRPr="00A2114C">
              <w:rPr>
                <w:rFonts w:ascii="Times New Roman" w:hAnsi="Times New Roman" w:cs="Times New Roman"/>
                <w:bCs/>
              </w:rPr>
              <w:t>dd)</w:t>
            </w:r>
            <w:r w:rsidR="00D631B5" w:rsidRPr="00A2114C">
              <w:rPr>
                <w:rFonts w:ascii="Times New Roman" w:hAnsi="Times New Roman" w:cs="Times New Roman"/>
                <w:bCs/>
              </w:rPr>
              <w:t xml:space="preserve"> și ee)</w:t>
            </w:r>
            <w:r w:rsidR="007022F9" w:rsidRPr="00A2114C">
              <w:rPr>
                <w:rFonts w:ascii="Times New Roman" w:hAnsi="Times New Roman" w:cs="Times New Roman"/>
                <w:bCs/>
              </w:rPr>
              <w:t xml:space="preserve">, prin transferarea </w:t>
            </w:r>
            <w:r w:rsidR="007022F9" w:rsidRPr="00A2114C">
              <w:rPr>
                <w:rFonts w:ascii="Times New Roman" w:hAnsi="Times New Roman" w:cs="Times New Roman"/>
              </w:rPr>
              <w:t>în sarcina coordonatorilor de reformă și/sau investiții, următoarele atribuții:</w:t>
            </w:r>
          </w:p>
          <w:p w14:paraId="07535322" w14:textId="3C68E23E" w:rsidR="00233D82" w:rsidRPr="00A2114C" w:rsidRDefault="007022F9" w:rsidP="0064057C">
            <w:pPr>
              <w:pStyle w:val="ListParagraph"/>
              <w:numPr>
                <w:ilvl w:val="0"/>
                <w:numId w:val="24"/>
              </w:numPr>
              <w:spacing w:line="276" w:lineRule="auto"/>
              <w:ind w:left="1733" w:right="32"/>
              <w:jc w:val="both"/>
              <w:rPr>
                <w:rFonts w:ascii="Times New Roman" w:hAnsi="Times New Roman" w:cs="Times New Roman"/>
              </w:rPr>
            </w:pPr>
            <w:r w:rsidRPr="00A2114C">
              <w:rPr>
                <w:rFonts w:ascii="Times New Roman" w:hAnsi="Times New Roman" w:cs="Times New Roman"/>
              </w:rPr>
              <w:t xml:space="preserve">Realizarea de verificări </w:t>
            </w:r>
            <w:r w:rsidR="00C607A9" w:rsidRPr="00A2114C">
              <w:rPr>
                <w:rFonts w:ascii="Times New Roman" w:hAnsi="Times New Roman" w:cs="Times New Roman"/>
              </w:rPr>
              <w:t xml:space="preserve">privind evitarea </w:t>
            </w:r>
            <w:r w:rsidR="00C607A9" w:rsidRPr="00A2114C">
              <w:rPr>
                <w:rFonts w:ascii="Times New Roman" w:hAnsi="Times New Roman" w:cs="Times New Roman"/>
                <w:i/>
              </w:rPr>
              <w:t>dublei finanțări</w:t>
            </w:r>
            <w:r w:rsidR="00C607A9" w:rsidRPr="00A2114C">
              <w:rPr>
                <w:rFonts w:ascii="Times New Roman" w:hAnsi="Times New Roman" w:cs="Times New Roman"/>
              </w:rPr>
              <w:t xml:space="preserve"> se transferă în sarcina coordonatorilor de reformă și/sau investiții având în vedere responsabilitatea de implementare a reformelor și investițiilor de către aceștia;</w:t>
            </w:r>
          </w:p>
          <w:p w14:paraId="2EF54DA5" w14:textId="77777777" w:rsidR="00233D82" w:rsidRPr="00A2114C" w:rsidRDefault="00C607A9" w:rsidP="0064057C">
            <w:pPr>
              <w:pStyle w:val="ListParagraph"/>
              <w:numPr>
                <w:ilvl w:val="0"/>
                <w:numId w:val="24"/>
              </w:numPr>
              <w:spacing w:line="276" w:lineRule="auto"/>
              <w:ind w:left="1733" w:right="32"/>
              <w:jc w:val="both"/>
              <w:rPr>
                <w:rFonts w:ascii="Times New Roman" w:hAnsi="Times New Roman" w:cs="Times New Roman"/>
              </w:rPr>
            </w:pPr>
            <w:r w:rsidRPr="00A2114C">
              <w:rPr>
                <w:rFonts w:ascii="Times New Roman" w:hAnsi="Times New Roman" w:cs="Times New Roman"/>
              </w:rPr>
              <w:t xml:space="preserve">Realizarea de verificări privind </w:t>
            </w:r>
            <w:r w:rsidRPr="00A2114C">
              <w:rPr>
                <w:rFonts w:ascii="Times New Roman" w:hAnsi="Times New Roman" w:cs="Times New Roman"/>
                <w:i/>
              </w:rPr>
              <w:t>prevenirea și detectarea conflictului de interese</w:t>
            </w:r>
            <w:r w:rsidRPr="00A2114C">
              <w:rPr>
                <w:rFonts w:ascii="Times New Roman" w:hAnsi="Times New Roman" w:cs="Times New Roman"/>
              </w:rPr>
              <w:t xml:space="preserve"> la nivelul entităților implicate în implementarea PNRR, se transferă în sarcina coordonatorilor de reformă și/sau investiții</w:t>
            </w:r>
            <w:r w:rsidR="00233D82" w:rsidRPr="00A2114C">
              <w:rPr>
                <w:rFonts w:ascii="Times New Roman" w:hAnsi="Times New Roman" w:cs="Times New Roman"/>
              </w:rPr>
              <w:t>;</w:t>
            </w:r>
          </w:p>
          <w:p w14:paraId="7ECD2500" w14:textId="77777777" w:rsidR="007C1A8B" w:rsidRPr="00A2114C" w:rsidRDefault="00C607A9" w:rsidP="0064057C">
            <w:pPr>
              <w:pStyle w:val="ListParagraph"/>
              <w:numPr>
                <w:ilvl w:val="0"/>
                <w:numId w:val="24"/>
              </w:numPr>
              <w:spacing w:line="276" w:lineRule="auto"/>
              <w:ind w:left="1733" w:right="32"/>
              <w:jc w:val="both"/>
              <w:rPr>
                <w:rFonts w:ascii="Times New Roman" w:hAnsi="Times New Roman" w:cs="Times New Roman"/>
              </w:rPr>
            </w:pPr>
            <w:r w:rsidRPr="00A2114C">
              <w:rPr>
                <w:rFonts w:ascii="Times New Roman" w:hAnsi="Times New Roman" w:cs="Times New Roman"/>
              </w:rPr>
              <w:t>Controlul, constând în verificarea, din punct de vedere administrativ, a aspectelor ce pot reprezenta elemente constitutive ale unei nereguli grave, care vor fi raportate către DLAF/ EPPO/DNA/OLAF/ANI.”;</w:t>
            </w:r>
          </w:p>
          <w:p w14:paraId="0CDE0BDE" w14:textId="4666D074" w:rsidR="00C607A9" w:rsidRPr="00A2114C" w:rsidRDefault="00C607A9" w:rsidP="0064057C">
            <w:pPr>
              <w:pStyle w:val="ListParagraph"/>
              <w:numPr>
                <w:ilvl w:val="0"/>
                <w:numId w:val="24"/>
              </w:numPr>
              <w:spacing w:line="276" w:lineRule="auto"/>
              <w:ind w:left="1733" w:right="32"/>
              <w:jc w:val="both"/>
              <w:rPr>
                <w:rFonts w:ascii="Times New Roman" w:hAnsi="Times New Roman" w:cs="Times New Roman"/>
              </w:rPr>
            </w:pPr>
            <w:r w:rsidRPr="00A2114C">
              <w:rPr>
                <w:rFonts w:ascii="Times New Roman" w:hAnsi="Times New Roman" w:cs="Times New Roman"/>
              </w:rPr>
              <w:t xml:space="preserve">Verificarea respectării procedurii de achiziție pentru atribuirea contractelor de furnizare de produse, prestare de servicii, execuție de lucrări finanțate din fondurile externe nerambursabile și rambursabile aferente Mecanismului de Redresare și Reziliență, alocate prin Planul Național de Redresare și Reziliență, </w:t>
            </w:r>
            <w:r w:rsidRPr="00A2114C">
              <w:rPr>
                <w:rFonts w:ascii="Times New Roman" w:hAnsi="Times New Roman" w:cs="Times New Roman"/>
                <w:bCs/>
              </w:rPr>
              <w:t>aplicabilă beneficiarilor privați, care nu au obligația respectării prevederilor legale aplicabile în domeniul achizițiilor publice</w:t>
            </w:r>
            <w:r w:rsidRPr="00A2114C">
              <w:rPr>
                <w:rFonts w:ascii="Times New Roman" w:hAnsi="Times New Roman" w:cs="Times New Roman"/>
              </w:rPr>
              <w:t>, constată neregulile și emite raport de neconformitate;</w:t>
            </w:r>
          </w:p>
          <w:p w14:paraId="7157C4DC" w14:textId="78B07C1F" w:rsidR="00D631B5" w:rsidRPr="00A2114C" w:rsidRDefault="00D631B5" w:rsidP="0064057C">
            <w:pPr>
              <w:pStyle w:val="ListParagraph"/>
              <w:numPr>
                <w:ilvl w:val="0"/>
                <w:numId w:val="24"/>
              </w:numPr>
              <w:spacing w:line="276" w:lineRule="auto"/>
              <w:ind w:left="1733" w:right="32"/>
              <w:jc w:val="both"/>
              <w:rPr>
                <w:rFonts w:ascii="Times New Roman" w:hAnsi="Times New Roman" w:cs="Times New Roman"/>
              </w:rPr>
            </w:pPr>
            <w:r w:rsidRPr="00A2114C">
              <w:rPr>
                <w:rFonts w:ascii="Times New Roman" w:hAnsi="Times New Roman" w:cs="Times New Roman"/>
              </w:rPr>
              <w:lastRenderedPageBreak/>
              <w:t>Instituirea obligației în sarcina coordonatorilor de reformă și/sau investiții de se asigura de respectarea prevederilor art. 24 alin. (3) din Regulamentul (UE) 2021/241, în procesul de modificare a țintelor/jaloanelor care au fost considerate îndeplinite, în mod satisfăcător de către Comisia Europeană.</w:t>
            </w:r>
          </w:p>
          <w:p w14:paraId="3037E6BE" w14:textId="14BFE466" w:rsidR="00F54A25" w:rsidRPr="00A2114C" w:rsidRDefault="00F54A25" w:rsidP="0064057C">
            <w:pPr>
              <w:pStyle w:val="ListParagraph"/>
              <w:numPr>
                <w:ilvl w:val="0"/>
                <w:numId w:val="24"/>
              </w:numPr>
              <w:spacing w:line="276" w:lineRule="auto"/>
              <w:ind w:left="791" w:right="32"/>
              <w:jc w:val="both"/>
              <w:rPr>
                <w:rFonts w:ascii="Times New Roman" w:eastAsia="Trebuchet MS" w:hAnsi="Times New Roman" w:cs="Times New Roman"/>
              </w:rPr>
            </w:pPr>
            <w:r w:rsidRPr="00A2114C">
              <w:rPr>
                <w:rFonts w:ascii="Times New Roman" w:hAnsi="Times New Roman" w:cs="Times New Roman"/>
              </w:rPr>
              <w:t xml:space="preserve">Se propune </w:t>
            </w:r>
            <w:r w:rsidR="00052AE4" w:rsidRPr="00A2114C">
              <w:rPr>
                <w:rFonts w:ascii="Times New Roman" w:hAnsi="Times New Roman" w:cs="Times New Roman"/>
              </w:rPr>
              <w:t xml:space="preserve">completarea </w:t>
            </w:r>
            <w:r w:rsidRPr="00A2114C">
              <w:rPr>
                <w:rFonts w:ascii="Times New Roman" w:hAnsi="Times New Roman" w:cs="Times New Roman"/>
              </w:rPr>
              <w:t>articolului</w:t>
            </w:r>
            <w:r w:rsidR="00052AE4" w:rsidRPr="00A2114C">
              <w:rPr>
                <w:rFonts w:ascii="Times New Roman" w:hAnsi="Times New Roman" w:cs="Times New Roman"/>
              </w:rPr>
              <w:t xml:space="preserve"> 8</w:t>
            </w:r>
            <w:r w:rsidRPr="00A2114C">
              <w:rPr>
                <w:rFonts w:ascii="Times New Roman" w:hAnsi="Times New Roman" w:cs="Times New Roman"/>
              </w:rPr>
              <w:t>, prin introducerea unui nou alineat, alineatul (2), în sensul creării cadrului legal pentru asigurarea  cheltuielilor necesare organizării și funcționării structurilor din cadrul MIPE, care au ca atribuții coordonarea și implementarea PNRR, respectiv mijloacele fixe, obiectele de inventar, cheltuielile cu utilitățile publice necesare sediului administrativ, cheltuielile cu chiria contractate în condițiile legii, cheltuieli de asistență tehnică, precum și alte categorii de cheltuieli necesare. Bugetul aferent cheltuielilor se va asigura prin PNRR din cadrul componentelor pentru care MIPE este coordonator de reformă, precum și din componentele pentru care alte instituții sunt coordonatori de reformă/investiții, prin transferuri în condițiile legii, cu respectarea încadrării în limitele menționate la art. 7 punctul 2 din Regulamentul (UE) 241/2021</w:t>
            </w:r>
            <w:r w:rsidR="00C60818" w:rsidRPr="00A2114C">
              <w:rPr>
                <w:rFonts w:ascii="Times New Roman" w:hAnsi="Times New Roman" w:cs="Times New Roman"/>
              </w:rPr>
              <w:t>;</w:t>
            </w:r>
          </w:p>
          <w:p w14:paraId="5AD21793" w14:textId="77777777" w:rsidR="00331B3B" w:rsidRPr="00A2114C" w:rsidRDefault="00052AE4" w:rsidP="0064057C">
            <w:pPr>
              <w:widowControl w:val="0"/>
              <w:numPr>
                <w:ilvl w:val="0"/>
                <w:numId w:val="24"/>
              </w:numPr>
              <w:autoSpaceDE w:val="0"/>
              <w:autoSpaceDN w:val="0"/>
              <w:adjustRightInd w:val="0"/>
              <w:spacing w:line="276" w:lineRule="auto"/>
              <w:ind w:left="791"/>
              <w:jc w:val="both"/>
              <w:rPr>
                <w:bCs/>
              </w:rPr>
            </w:pPr>
            <w:r w:rsidRPr="00A2114C">
              <w:rPr>
                <w:bCs/>
              </w:rPr>
              <w:t xml:space="preserve">Se propune completarea art. 12 prin introducerea unui nou alineat, la propunerea </w:t>
            </w:r>
            <w:r w:rsidRPr="00A2114C">
              <w:rPr>
                <w:color w:val="000000" w:themeColor="text1"/>
              </w:rPr>
              <w:t xml:space="preserve">Consiliul Concurenței cu următorul conținut: </w:t>
            </w:r>
            <w:r w:rsidRPr="00A2114C">
              <w:rPr>
                <w:bCs/>
                <w:i/>
              </w:rPr>
              <w:t>În cazul în care sumele ce fac obiectul recuperării reprezintă ajutoare de stat, acestea se vor recupera conform procedurilor naționale în domeniul ajutoarelor de stat</w:t>
            </w:r>
            <w:r w:rsidR="00331B3B" w:rsidRPr="00A2114C">
              <w:rPr>
                <w:bCs/>
                <w:i/>
              </w:rPr>
              <w:t>;</w:t>
            </w:r>
          </w:p>
          <w:p w14:paraId="04FF1453" w14:textId="26038B1A" w:rsidR="000B257C" w:rsidRPr="00A2114C" w:rsidRDefault="000B257C" w:rsidP="0064057C">
            <w:pPr>
              <w:widowControl w:val="0"/>
              <w:numPr>
                <w:ilvl w:val="0"/>
                <w:numId w:val="24"/>
              </w:numPr>
              <w:autoSpaceDE w:val="0"/>
              <w:autoSpaceDN w:val="0"/>
              <w:adjustRightInd w:val="0"/>
              <w:spacing w:line="276" w:lineRule="auto"/>
              <w:ind w:left="791"/>
              <w:jc w:val="both"/>
              <w:rPr>
                <w:bCs/>
              </w:rPr>
            </w:pPr>
            <w:r w:rsidRPr="00A2114C">
              <w:t>Se propune completarea art. 13 alineatul (1), prin introducerea unei noi litere, litera c)</w:t>
            </w:r>
            <w:r w:rsidRPr="00A2114C">
              <w:rPr>
                <w:vertAlign w:val="superscript"/>
              </w:rPr>
              <w:t>1</w:t>
            </w:r>
            <w:r w:rsidRPr="00A2114C">
              <w:t>, dispoziție prin care se crează cadrul legal pentru cuprinderea în bugetul coordonatorilor de reformă și/sau investiții a cheltuielilor necesare organizării și funcționării structurilor de specialitate, chiar dacă acestea nu se pot deconta din bugetul alocat prin PNRR pentru coordonatorul de reformă/investiții, ținând cont de faptul că la nivelul fiecărui coordonator de reformă și/sau investiții s-au creat structuri de specialitate având drept atribuții implementarea reformelor și investițiilor din PNRR, fie prin redistribuirea personalului existent, fie prin angajarea de personal, aceste cheltuieli sunt imperios necesare pentru desfășurarea activităților.</w:t>
            </w:r>
          </w:p>
          <w:p w14:paraId="5C6D753F" w14:textId="77777777" w:rsidR="001D053B" w:rsidRPr="00A2114C" w:rsidRDefault="008204EA" w:rsidP="0064057C">
            <w:pPr>
              <w:widowControl w:val="0"/>
              <w:numPr>
                <w:ilvl w:val="0"/>
                <w:numId w:val="24"/>
              </w:numPr>
              <w:autoSpaceDE w:val="0"/>
              <w:autoSpaceDN w:val="0"/>
              <w:adjustRightInd w:val="0"/>
              <w:spacing w:line="276" w:lineRule="auto"/>
              <w:ind w:left="791"/>
              <w:jc w:val="both"/>
              <w:rPr>
                <w:bCs/>
              </w:rPr>
            </w:pPr>
            <w:r w:rsidRPr="00A2114C">
              <w:t xml:space="preserve">Se propune modificarea prevederilor art. 14 alin. (2), prin completarea textului cu o nouă teză care creează cadrul legal pentru coordonatorii de reforme care sunt beneficiari ai propriilor reforme și investiții, pentru a </w:t>
            </w:r>
            <w:r w:rsidRPr="00A2114C">
              <w:rPr>
                <w:rFonts w:eastAsia="MS Mincho"/>
                <w:bCs/>
              </w:rPr>
              <w:t>cuprinde în buget creditele de angajament și creditele bugetare în baza deciziilor/ordinelor de finanțare încheiate de către aceștia.</w:t>
            </w:r>
          </w:p>
          <w:p w14:paraId="4A1C0534" w14:textId="1CE9C539" w:rsidR="00B22911" w:rsidRPr="00A2114C" w:rsidRDefault="00B22911" w:rsidP="0064057C">
            <w:pPr>
              <w:widowControl w:val="0"/>
              <w:numPr>
                <w:ilvl w:val="0"/>
                <w:numId w:val="24"/>
              </w:numPr>
              <w:autoSpaceDE w:val="0"/>
              <w:autoSpaceDN w:val="0"/>
              <w:adjustRightInd w:val="0"/>
              <w:spacing w:line="276" w:lineRule="auto"/>
              <w:ind w:left="791"/>
              <w:jc w:val="both"/>
              <w:rPr>
                <w:bCs/>
              </w:rPr>
            </w:pPr>
            <w:r w:rsidRPr="00A2114C">
              <w:rPr>
                <w:bCs/>
              </w:rPr>
              <w:t>Se propune completarea art. 18 alin. (1), prin introducerea unui nou alineat, alin. (1</w:t>
            </w:r>
            <w:r w:rsidR="008D46C2" w:rsidRPr="00A2114C">
              <w:rPr>
                <w:bCs/>
                <w:vertAlign w:val="superscript"/>
              </w:rPr>
              <w:t>1</w:t>
            </w:r>
            <w:r w:rsidR="008D46C2" w:rsidRPr="00A2114C">
              <w:rPr>
                <w:bCs/>
              </w:rPr>
              <w:t>)</w:t>
            </w:r>
            <w:r w:rsidR="00EF7506" w:rsidRPr="00A2114C">
              <w:rPr>
                <w:bCs/>
              </w:rPr>
              <w:t>, în sensul că r</w:t>
            </w:r>
            <w:r w:rsidRPr="00A2114C">
              <w:t>aportarea execuției bugetare de către coordonatorii de reforme și/sau investiții, STS, se va realiza în primele 5 zile lucrătoare a primei luni a trimestrului următor pentru trimestrul anterior pentru componenta de asistență financiară nerambursabilă și respectiv pentru asistența financiară rambursabilă.</w:t>
            </w:r>
            <w:r w:rsidR="00C60818" w:rsidRPr="00A2114C">
              <w:rPr>
                <w:sz w:val="20"/>
                <w:szCs w:val="20"/>
              </w:rPr>
              <w:t xml:space="preserve"> </w:t>
            </w:r>
            <w:r w:rsidR="00C60818" w:rsidRPr="00A2114C">
              <w:t xml:space="preserve">Prin modificarea prevăzută, este stabilită frecvența cu care vor fi transmise coordonatorului național raportările privind sumele utilizate pentru implementarea </w:t>
            </w:r>
            <w:r w:rsidR="00C60818" w:rsidRPr="00A2114C">
              <w:rPr>
                <w:u w:val="single"/>
              </w:rPr>
              <w:t>proiectelor</w:t>
            </w:r>
            <w:r w:rsidR="00C60818" w:rsidRPr="00A2114C">
              <w:rPr>
                <w:rFonts w:eastAsiaTheme="minorEastAsia"/>
              </w:rPr>
              <w:t xml:space="preserve"> </w:t>
            </w:r>
            <w:r w:rsidR="00B90F09" w:rsidRPr="00A2114C">
              <w:rPr>
                <w:rFonts w:eastAsiaTheme="minorEastAsia"/>
              </w:rPr>
              <w:t>finanțate</w:t>
            </w:r>
            <w:r w:rsidR="00C60818" w:rsidRPr="00A2114C">
              <w:rPr>
                <w:rFonts w:eastAsiaTheme="minorEastAsia"/>
              </w:rPr>
              <w:t xml:space="preserve"> din fonduri europene în cadrul PNRR</w:t>
            </w:r>
            <w:r w:rsidR="00E50064" w:rsidRPr="00A2114C">
              <w:rPr>
                <w:rFonts w:eastAsiaTheme="minorEastAsia"/>
              </w:rPr>
              <w:t>;</w:t>
            </w:r>
          </w:p>
          <w:p w14:paraId="131DF7C1" w14:textId="29709AFE" w:rsidR="00E50064" w:rsidRPr="00A2114C" w:rsidRDefault="00E50064" w:rsidP="0064057C">
            <w:pPr>
              <w:widowControl w:val="0"/>
              <w:numPr>
                <w:ilvl w:val="0"/>
                <w:numId w:val="24"/>
              </w:numPr>
              <w:autoSpaceDE w:val="0"/>
              <w:autoSpaceDN w:val="0"/>
              <w:adjustRightInd w:val="0"/>
              <w:spacing w:line="276" w:lineRule="auto"/>
              <w:ind w:left="791"/>
              <w:jc w:val="both"/>
              <w:rPr>
                <w:bCs/>
              </w:rPr>
            </w:pPr>
            <w:r w:rsidRPr="00A2114C">
              <w:rPr>
                <w:bCs/>
              </w:rPr>
              <w:t xml:space="preserve">Se propune completarea </w:t>
            </w:r>
            <w:r w:rsidRPr="00A2114C">
              <w:rPr>
                <w:bCs/>
                <w:color w:val="000000"/>
                <w:shd w:val="clear" w:color="auto" w:fill="FFFFFF"/>
              </w:rPr>
              <w:t>art</w:t>
            </w:r>
            <w:r w:rsidR="00B90F09">
              <w:rPr>
                <w:bCs/>
                <w:color w:val="000000"/>
                <w:shd w:val="clear" w:color="auto" w:fill="FFFFFF"/>
              </w:rPr>
              <w:t>.</w:t>
            </w:r>
            <w:r w:rsidRPr="00A2114C">
              <w:rPr>
                <w:bCs/>
                <w:color w:val="000000"/>
                <w:shd w:val="clear" w:color="auto" w:fill="FFFFFF"/>
              </w:rPr>
              <w:t xml:space="preserve"> 18 </w:t>
            </w:r>
            <w:r w:rsidR="00B90F09" w:rsidRPr="00A2114C">
              <w:rPr>
                <w:bCs/>
                <w:color w:val="000000"/>
                <w:shd w:val="clear" w:color="auto" w:fill="FFFFFF"/>
              </w:rPr>
              <w:t>după</w:t>
            </w:r>
            <w:r w:rsidRPr="00A2114C">
              <w:rPr>
                <w:bCs/>
                <w:color w:val="000000"/>
                <w:shd w:val="clear" w:color="auto" w:fill="FFFFFF"/>
              </w:rPr>
              <w:t xml:space="preserve"> alineatul (2) prin introducerea a 4 noi alineate, alin. (3), (4), (5), (6)</w:t>
            </w:r>
            <w:r w:rsidR="002E3777" w:rsidRPr="00A2114C">
              <w:rPr>
                <w:bCs/>
                <w:color w:val="000000"/>
                <w:shd w:val="clear" w:color="auto" w:fill="FFFFFF"/>
              </w:rPr>
              <w:t xml:space="preserve"> -</w:t>
            </w:r>
            <w:r w:rsidR="002E3777" w:rsidRPr="00A2114C">
              <w:rPr>
                <w:b/>
                <w:sz w:val="20"/>
                <w:szCs w:val="20"/>
              </w:rPr>
              <w:t xml:space="preserve"> </w:t>
            </w:r>
            <w:r w:rsidR="002E3777" w:rsidRPr="00A2114C">
              <w:t xml:space="preserve">ținând cont de faptul că prin modificările aduse prin prezentul proiect, se intenționează implementarea unui nou sistem de verificare și gestionare a sumelor utilizate pentru realizarea reformelor și investițiilor în cadrul PNRR , </w:t>
            </w:r>
            <w:r w:rsidR="007D1FB4">
              <w:t xml:space="preserve">astfel, </w:t>
            </w:r>
            <w:r w:rsidR="002E3777" w:rsidRPr="00A2114C">
              <w:t xml:space="preserve">este necesar ca la nivelul actului normativ să fie stabilite mecanismele fundamentale de funcționare a noului sistem, context în care au fost introduse prevederi privind modalitatea de avizare, posibilitatea emiterii unor avize </w:t>
            </w:r>
            <w:r w:rsidR="00B90F09" w:rsidRPr="00A2114C">
              <w:t>parțiale</w:t>
            </w:r>
            <w:r w:rsidR="002E3777" w:rsidRPr="00A2114C">
              <w:t xml:space="preserve">, dar și </w:t>
            </w:r>
            <w:r w:rsidR="002E3777" w:rsidRPr="00A2114C">
              <w:lastRenderedPageBreak/>
              <w:t>posibilitatea reluării procedurii de avizare și situațiile în care coordonatorii de reformă și/sau investiții pot recurge la acest procedeu;</w:t>
            </w:r>
          </w:p>
          <w:p w14:paraId="53017606" w14:textId="4EA9190B" w:rsidR="00F33924" w:rsidRPr="00A2114C" w:rsidRDefault="00F33924" w:rsidP="0064057C">
            <w:pPr>
              <w:widowControl w:val="0"/>
              <w:numPr>
                <w:ilvl w:val="0"/>
                <w:numId w:val="24"/>
              </w:numPr>
              <w:autoSpaceDE w:val="0"/>
              <w:autoSpaceDN w:val="0"/>
              <w:adjustRightInd w:val="0"/>
              <w:spacing w:line="276" w:lineRule="auto"/>
              <w:ind w:left="791"/>
              <w:jc w:val="both"/>
              <w:rPr>
                <w:bCs/>
              </w:rPr>
            </w:pPr>
            <w:r w:rsidRPr="00A2114C">
              <w:rPr>
                <w:bCs/>
              </w:rPr>
              <w:t xml:space="preserve">Se propune modificarea și completarea art. 19 </w:t>
            </w:r>
            <w:r w:rsidR="00372839" w:rsidRPr="00A2114C">
              <w:rPr>
                <w:bCs/>
              </w:rPr>
              <w:t xml:space="preserve">alin. (2), (3), </w:t>
            </w:r>
            <w:r w:rsidRPr="00A2114C">
              <w:t>în scopul clarificării activităților ce trebuie desfășurate la nivelul Ministerului Finanțelor și a documentelor pe baza cărora instituția va efectua transferul sumelor către conturile de venituri bugetare prevăzute în actul normativ.</w:t>
            </w:r>
          </w:p>
          <w:p w14:paraId="149D7448" w14:textId="77777777" w:rsidR="00372839" w:rsidRPr="00A2114C" w:rsidRDefault="00372839" w:rsidP="0064057C">
            <w:pPr>
              <w:widowControl w:val="0"/>
              <w:autoSpaceDE w:val="0"/>
              <w:autoSpaceDN w:val="0"/>
              <w:adjustRightInd w:val="0"/>
              <w:spacing w:line="276" w:lineRule="auto"/>
              <w:ind w:left="791"/>
              <w:jc w:val="both"/>
            </w:pPr>
            <w:r w:rsidRPr="00A2114C">
              <w:t>De asemenea, este necesară m</w:t>
            </w:r>
            <w:r w:rsidR="00F33924" w:rsidRPr="00A2114C">
              <w:t xml:space="preserve">odificarea </w:t>
            </w:r>
            <w:r w:rsidRPr="00A2114C">
              <w:t xml:space="preserve">dispozițiilor mai sus enunțate </w:t>
            </w:r>
            <w:r w:rsidR="00F33924" w:rsidRPr="00A2114C">
              <w:t xml:space="preserve">în scopul clarificării documentelor ce trebuie transmise la Ministerul Finanțelor în </w:t>
            </w:r>
            <w:r w:rsidRPr="00A2114C">
              <w:t>vederea</w:t>
            </w:r>
            <w:r w:rsidR="00F33924" w:rsidRPr="00A2114C">
              <w:t xml:space="preserve"> efectuării transferului sumelor pentru care a fost obținut avizul coordonatorului național, către conturile de venituri bugetare prevăzute în actul normativ.</w:t>
            </w:r>
          </w:p>
          <w:p w14:paraId="4F35B59E" w14:textId="2D6523AC" w:rsidR="00372839" w:rsidRPr="00A2114C" w:rsidRDefault="00372839" w:rsidP="0064057C">
            <w:pPr>
              <w:pStyle w:val="ListParagraph"/>
              <w:widowControl w:val="0"/>
              <w:numPr>
                <w:ilvl w:val="0"/>
                <w:numId w:val="36"/>
              </w:numPr>
              <w:autoSpaceDE w:val="0"/>
              <w:autoSpaceDN w:val="0"/>
              <w:adjustRightInd w:val="0"/>
              <w:spacing w:line="276" w:lineRule="auto"/>
              <w:ind w:left="791" w:hanging="284"/>
              <w:jc w:val="both"/>
              <w:rPr>
                <w:rFonts w:ascii="Times New Roman" w:hAnsi="Times New Roman" w:cs="Times New Roman"/>
              </w:rPr>
            </w:pPr>
            <w:r w:rsidRPr="00A2114C">
              <w:rPr>
                <w:rFonts w:ascii="Times New Roman" w:hAnsi="Times New Roman" w:cs="Times New Roman"/>
                <w:bCs/>
              </w:rPr>
              <w:t>Se propune completarea art. 19 cu alin. (4</w:t>
            </w:r>
            <w:r w:rsidRPr="00A2114C">
              <w:rPr>
                <w:rFonts w:ascii="Times New Roman" w:hAnsi="Times New Roman" w:cs="Times New Roman"/>
                <w:bCs/>
                <w:vertAlign w:val="superscript"/>
              </w:rPr>
              <w:t>1</w:t>
            </w:r>
            <w:r w:rsidRPr="00A2114C">
              <w:rPr>
                <w:rFonts w:ascii="Times New Roman" w:hAnsi="Times New Roman" w:cs="Times New Roman"/>
                <w:bCs/>
              </w:rPr>
              <w:t>)</w:t>
            </w:r>
            <w:r w:rsidRPr="00A2114C">
              <w:rPr>
                <w:bCs/>
              </w:rPr>
              <w:t xml:space="preserve">, </w:t>
            </w:r>
            <w:r w:rsidR="00F33924" w:rsidRPr="00A2114C">
              <w:rPr>
                <w:rFonts w:ascii="Times New Roman" w:hAnsi="Times New Roman" w:cs="Times New Roman"/>
              </w:rPr>
              <w:t>în scopul instituirii unor reguli stricte de disciplină financiară cu efect asupra preîntâmpinării unor situații în care transmiterea solicitărilor de fonduri se face fără parcurgerea etapelor de verificare obligatorii prevăzute în proiectul de act normativ.</w:t>
            </w:r>
          </w:p>
          <w:p w14:paraId="76DA2BEE" w14:textId="7C28381E" w:rsidR="00372839" w:rsidRPr="00A2114C" w:rsidRDefault="00372839" w:rsidP="0064057C">
            <w:pPr>
              <w:pStyle w:val="ListParagraph"/>
              <w:widowControl w:val="0"/>
              <w:numPr>
                <w:ilvl w:val="0"/>
                <w:numId w:val="35"/>
              </w:numPr>
              <w:autoSpaceDE w:val="0"/>
              <w:autoSpaceDN w:val="0"/>
              <w:adjustRightInd w:val="0"/>
              <w:spacing w:line="276" w:lineRule="auto"/>
              <w:ind w:left="791" w:hanging="284"/>
              <w:jc w:val="both"/>
              <w:rPr>
                <w:rFonts w:ascii="Times New Roman" w:hAnsi="Times New Roman" w:cs="Times New Roman"/>
              </w:rPr>
            </w:pPr>
            <w:r w:rsidRPr="00A2114C">
              <w:rPr>
                <w:rFonts w:ascii="Times New Roman" w:hAnsi="Times New Roman" w:cs="Times New Roman"/>
              </w:rPr>
              <w:t>Se propune abrogarea prevederilor art. 19 alin. (5), (6) și (7) având în vedere faptul că</w:t>
            </w:r>
            <w:r w:rsidR="007D1FB4">
              <w:rPr>
                <w:rFonts w:ascii="Times New Roman" w:hAnsi="Times New Roman" w:cs="Times New Roman"/>
              </w:rPr>
              <w:t>,</w:t>
            </w:r>
            <w:r w:rsidRPr="00A2114C">
              <w:rPr>
                <w:rFonts w:ascii="Times New Roman" w:hAnsi="Times New Roman" w:cs="Times New Roman"/>
              </w:rPr>
              <w:t xml:space="preserve"> prin modificările aduse solicitările de fonduri pot fi transmise numai după obținerea avizului privind legalitatea și regularitatea cheltuielilor declarate de coordonatorii de reformă și/sau investiții, nu mai sunt necesare prevederi specifice pentru operațiunile derulate la finele anului</w:t>
            </w:r>
            <w:r w:rsidR="00275F83" w:rsidRPr="00A2114C">
              <w:rPr>
                <w:rFonts w:ascii="Times New Roman" w:hAnsi="Times New Roman" w:cs="Times New Roman"/>
              </w:rPr>
              <w:t>;</w:t>
            </w:r>
          </w:p>
          <w:p w14:paraId="3AAC5F29" w14:textId="2D319630" w:rsidR="00275F83" w:rsidRPr="00A2114C" w:rsidRDefault="00275F83" w:rsidP="0064057C">
            <w:pPr>
              <w:pStyle w:val="ListParagraph"/>
              <w:widowControl w:val="0"/>
              <w:numPr>
                <w:ilvl w:val="0"/>
                <w:numId w:val="24"/>
              </w:numPr>
              <w:autoSpaceDE w:val="0"/>
              <w:autoSpaceDN w:val="0"/>
              <w:adjustRightInd w:val="0"/>
              <w:spacing w:line="276" w:lineRule="auto"/>
              <w:ind w:left="791"/>
              <w:jc w:val="both"/>
              <w:rPr>
                <w:rFonts w:ascii="Times New Roman" w:hAnsi="Times New Roman" w:cs="Times New Roman"/>
                <w:bCs/>
              </w:rPr>
            </w:pPr>
            <w:r w:rsidRPr="00A2114C">
              <w:rPr>
                <w:rFonts w:ascii="Times New Roman" w:hAnsi="Times New Roman" w:cs="Times New Roman"/>
                <w:bCs/>
              </w:rPr>
              <w:t>Se propune modificarea art</w:t>
            </w:r>
            <w:r w:rsidR="001A241C">
              <w:rPr>
                <w:rFonts w:ascii="Times New Roman" w:hAnsi="Times New Roman" w:cs="Times New Roman"/>
                <w:bCs/>
              </w:rPr>
              <w:t>.</w:t>
            </w:r>
            <w:r w:rsidRPr="00A2114C">
              <w:rPr>
                <w:rFonts w:ascii="Times New Roman" w:hAnsi="Times New Roman" w:cs="Times New Roman"/>
                <w:bCs/>
              </w:rPr>
              <w:t xml:space="preserve"> 20 alineatul (4), litera a) </w:t>
            </w:r>
            <w:r w:rsidRPr="00A2114C">
              <w:rPr>
                <w:rFonts w:ascii="Times New Roman" w:hAnsi="Times New Roman" w:cs="Times New Roman"/>
              </w:rPr>
              <w:t>pentru coerența proiectului de act normativ ;</w:t>
            </w:r>
          </w:p>
          <w:p w14:paraId="3F77BB3C" w14:textId="2E8A3630" w:rsidR="00DD0A0F" w:rsidRPr="00A2114C" w:rsidRDefault="00DD0A0F" w:rsidP="0064057C">
            <w:pPr>
              <w:pStyle w:val="ListParagraph"/>
              <w:widowControl w:val="0"/>
              <w:numPr>
                <w:ilvl w:val="0"/>
                <w:numId w:val="24"/>
              </w:numPr>
              <w:autoSpaceDE w:val="0"/>
              <w:autoSpaceDN w:val="0"/>
              <w:adjustRightInd w:val="0"/>
              <w:spacing w:line="276" w:lineRule="auto"/>
              <w:ind w:left="791"/>
              <w:jc w:val="both"/>
              <w:rPr>
                <w:rFonts w:ascii="Times New Roman" w:hAnsi="Times New Roman" w:cs="Times New Roman"/>
                <w:bCs/>
              </w:rPr>
            </w:pPr>
            <w:r w:rsidRPr="00A2114C">
              <w:rPr>
                <w:rFonts w:ascii="Times New Roman" w:hAnsi="Times New Roman" w:cs="Times New Roman"/>
              </w:rPr>
              <w:t xml:space="preserve">La art. 24, se propune introducerea </w:t>
            </w:r>
            <w:r w:rsidR="007C44A6">
              <w:rPr>
                <w:rFonts w:ascii="Times New Roman" w:hAnsi="Times New Roman" w:cs="Times New Roman"/>
              </w:rPr>
              <w:t xml:space="preserve">a două noi </w:t>
            </w:r>
            <w:r w:rsidRPr="00A2114C">
              <w:rPr>
                <w:rFonts w:ascii="Times New Roman" w:hAnsi="Times New Roman" w:cs="Times New Roman"/>
              </w:rPr>
              <w:t>alineat</w:t>
            </w:r>
            <w:r w:rsidR="007C44A6">
              <w:rPr>
                <w:rFonts w:ascii="Times New Roman" w:hAnsi="Times New Roman" w:cs="Times New Roman"/>
              </w:rPr>
              <w:t>e</w:t>
            </w:r>
            <w:r w:rsidRPr="00A2114C">
              <w:rPr>
                <w:rFonts w:ascii="Times New Roman" w:hAnsi="Times New Roman" w:cs="Times New Roman"/>
              </w:rPr>
              <w:t>, alineatul (1</w:t>
            </w:r>
            <w:r w:rsidRPr="00A2114C">
              <w:rPr>
                <w:rFonts w:ascii="Times New Roman" w:hAnsi="Times New Roman" w:cs="Times New Roman"/>
                <w:vertAlign w:val="superscript"/>
              </w:rPr>
              <w:t>1</w:t>
            </w:r>
            <w:r w:rsidRPr="00A2114C">
              <w:rPr>
                <w:rFonts w:ascii="Times New Roman" w:hAnsi="Times New Roman" w:cs="Times New Roman"/>
              </w:rPr>
              <w:t xml:space="preserve">), prin care se are în vedere ca în situația în care </w:t>
            </w:r>
            <w:r w:rsidRPr="00A2114C">
              <w:rPr>
                <w:rFonts w:ascii="Times New Roman" w:eastAsia="Trebuchet MS" w:hAnsi="Times New Roman" w:cs="Times New Roman"/>
              </w:rPr>
              <w:t xml:space="preserve">valoarea jaloanelor și țintelor asumate prin PNRR se modifică, datorită unor circumstanțe, precum </w:t>
            </w:r>
            <w:r w:rsidRPr="00A2114C">
              <w:rPr>
                <w:rFonts w:ascii="Times New Roman" w:hAnsi="Times New Roman" w:cs="Times New Roman"/>
              </w:rPr>
              <w:t>criza generată de războiul din Ucraina, probleme diverse pe lanțurile de aprovizionare, creșterea generalizat</w:t>
            </w:r>
            <w:r w:rsidR="007D1FB4">
              <w:rPr>
                <w:rFonts w:ascii="Times New Roman" w:hAnsi="Times New Roman" w:cs="Times New Roman"/>
              </w:rPr>
              <w:t>ă</w:t>
            </w:r>
            <w:r w:rsidRPr="00A2114C">
              <w:rPr>
                <w:rFonts w:ascii="Times New Roman" w:hAnsi="Times New Roman" w:cs="Times New Roman"/>
              </w:rPr>
              <w:t xml:space="preserve"> a prețului resurselor primare,  precum și a preturilor materiilor prime necesare in implementarea investițiilor asumate in cadrul PNRR, </w:t>
            </w:r>
            <w:r w:rsidRPr="00A2114C">
              <w:rPr>
                <w:rFonts w:ascii="Times New Roman" w:eastAsia="Trebuchet MS" w:hAnsi="Times New Roman" w:cs="Times New Roman"/>
              </w:rPr>
              <w:t>diferența să se asigure din finanțare publică națională, pe baza demersurilor efectuate de coordonatorul de reforme și/sau investiții</w:t>
            </w:r>
            <w:r w:rsidR="007C44A6">
              <w:rPr>
                <w:rFonts w:ascii="Times New Roman" w:hAnsi="Times New Roman" w:cs="Times New Roman"/>
              </w:rPr>
              <w:t xml:space="preserve"> și respectiv alin. (2</w:t>
            </w:r>
            <w:r w:rsidR="007C44A6">
              <w:rPr>
                <w:rFonts w:ascii="Times New Roman" w:hAnsi="Times New Roman" w:cs="Times New Roman"/>
                <w:vertAlign w:val="superscript"/>
              </w:rPr>
              <w:t>2</w:t>
            </w:r>
            <w:r w:rsidR="007C44A6">
              <w:rPr>
                <w:rFonts w:ascii="Times New Roman" w:hAnsi="Times New Roman" w:cs="Times New Roman"/>
              </w:rPr>
              <w:t>) în scopul asigurării unei discipline financiare s</w:t>
            </w:r>
            <w:r w:rsidR="007C44A6" w:rsidRPr="009052C8">
              <w:rPr>
                <w:rFonts w:ascii="Times New Roman" w:hAnsi="Times New Roman" w:cs="Times New Roman"/>
              </w:rPr>
              <w:t>umele alocate în euro aferente fiecărei reforme și/sau investiție din acordurile de finanțare destinat</w:t>
            </w:r>
            <w:r w:rsidR="007C44A6">
              <w:rPr>
                <w:rFonts w:ascii="Times New Roman" w:hAnsi="Times New Roman" w:cs="Times New Roman"/>
              </w:rPr>
              <w:t>e</w:t>
            </w:r>
            <w:r w:rsidR="007C44A6" w:rsidRPr="009052C8">
              <w:rPr>
                <w:rFonts w:ascii="Times New Roman" w:hAnsi="Times New Roman" w:cs="Times New Roman"/>
              </w:rPr>
              <w:t xml:space="preserve"> realizării indicatorilor cantitativi cu mai mult de 30% peste pragul prevăzut în PNRR, se suportă din </w:t>
            </w:r>
            <w:r w:rsidR="007C44A6">
              <w:rPr>
                <w:rFonts w:ascii="Times New Roman" w:hAnsi="Times New Roman" w:cs="Times New Roman"/>
              </w:rPr>
              <w:t>finanțarea publică națională sau din alte fonduri europene</w:t>
            </w:r>
            <w:r w:rsidR="007C44A6" w:rsidRPr="009052C8">
              <w:rPr>
                <w:rFonts w:ascii="Times New Roman" w:hAnsi="Times New Roman" w:cs="Times New Roman"/>
              </w:rPr>
              <w:t xml:space="preserve"> și se aprobă prin hotărâre a Guvernului</w:t>
            </w:r>
            <w:r w:rsidR="007C44A6">
              <w:rPr>
                <w:rFonts w:ascii="Times New Roman" w:hAnsi="Times New Roman" w:cs="Times New Roman"/>
              </w:rPr>
              <w:t>.</w:t>
            </w:r>
          </w:p>
          <w:p w14:paraId="79B0BBAE" w14:textId="1EB6B392" w:rsidR="00DD0A0F" w:rsidRPr="00A2114C" w:rsidRDefault="00900614" w:rsidP="0064057C">
            <w:pPr>
              <w:widowControl w:val="0"/>
              <w:numPr>
                <w:ilvl w:val="0"/>
                <w:numId w:val="24"/>
              </w:numPr>
              <w:autoSpaceDE w:val="0"/>
              <w:autoSpaceDN w:val="0"/>
              <w:adjustRightInd w:val="0"/>
              <w:spacing w:line="276" w:lineRule="auto"/>
              <w:ind w:left="791"/>
              <w:jc w:val="both"/>
              <w:rPr>
                <w:bCs/>
              </w:rPr>
            </w:pPr>
            <w:r w:rsidRPr="00A2114C">
              <w:rPr>
                <w:rFonts w:eastAsia="Trebuchet MS"/>
                <w:bCs/>
              </w:rPr>
              <w:t>La articolul 30</w:t>
            </w:r>
            <w:r w:rsidR="001A241C">
              <w:rPr>
                <w:rFonts w:eastAsia="Trebuchet MS"/>
                <w:bCs/>
              </w:rPr>
              <w:t xml:space="preserve"> </w:t>
            </w:r>
            <w:r w:rsidRPr="00A2114C">
              <w:rPr>
                <w:rFonts w:eastAsia="Trebuchet MS"/>
                <w:bCs/>
              </w:rPr>
              <w:t xml:space="preserve">alineatul (4) se modifică, în scopul </w:t>
            </w:r>
            <w:r w:rsidR="00DD0A0F" w:rsidRPr="00A2114C">
              <w:rPr>
                <w:rFonts w:eastAsia="Trebuchet MS"/>
              </w:rPr>
              <w:t>clarifică</w:t>
            </w:r>
            <w:r w:rsidRPr="00A2114C">
              <w:rPr>
                <w:rFonts w:eastAsia="Trebuchet MS"/>
              </w:rPr>
              <w:t>rii</w:t>
            </w:r>
            <w:r w:rsidR="00DD0A0F" w:rsidRPr="00A2114C">
              <w:rPr>
                <w:rFonts w:eastAsia="Trebuchet MS"/>
              </w:rPr>
              <w:t xml:space="preserve"> rolul</w:t>
            </w:r>
            <w:r w:rsidRPr="00A2114C">
              <w:rPr>
                <w:rFonts w:eastAsia="Trebuchet MS"/>
              </w:rPr>
              <w:t>ui</w:t>
            </w:r>
            <w:r w:rsidR="00DD0A0F" w:rsidRPr="00A2114C">
              <w:rPr>
                <w:rFonts w:eastAsia="Trebuchet MS"/>
              </w:rPr>
              <w:t xml:space="preserve"> structurii de specialitate din cadrul MIPE care efectuează verificarea, prin eșantion, a cheltuielilor efectuate atât de beneficiarii publici cât si de beneficiarii privați, pe baza informațiilor transmise de coordonatorii de reformă și/sau investiții;</w:t>
            </w:r>
          </w:p>
          <w:p w14:paraId="060A028E" w14:textId="46EE30E3" w:rsidR="0080633D" w:rsidRPr="00F4799C" w:rsidRDefault="0080633D" w:rsidP="0064057C">
            <w:pPr>
              <w:widowControl w:val="0"/>
              <w:numPr>
                <w:ilvl w:val="0"/>
                <w:numId w:val="24"/>
              </w:numPr>
              <w:autoSpaceDE w:val="0"/>
              <w:autoSpaceDN w:val="0"/>
              <w:adjustRightInd w:val="0"/>
              <w:spacing w:line="276" w:lineRule="auto"/>
              <w:ind w:left="791"/>
              <w:jc w:val="both"/>
              <w:rPr>
                <w:rFonts w:eastAsia="Trebuchet MS"/>
              </w:rPr>
            </w:pPr>
            <w:r w:rsidRPr="00F4799C">
              <w:rPr>
                <w:rFonts w:eastAsia="Trebuchet MS"/>
                <w:bCs/>
              </w:rPr>
              <w:t xml:space="preserve">Se propune modificarea articolul 31 alineatul (11), în sensul în care în cazul în care procurorul dispune trimiterea în judecată și sesizează instanța, până la rămânerea definitivă a hotărârii instanței de judecată, MIPE și coordonatorii de reforme/investiții să poată dispune </w:t>
            </w:r>
            <w:r w:rsidRPr="00F4799C">
              <w:rPr>
                <w:rFonts w:eastAsia="Trebuchet MS"/>
                <w:bCs/>
                <w:i/>
              </w:rPr>
              <w:t xml:space="preserve">suspendarea </w:t>
            </w:r>
            <w:r w:rsidRPr="00F4799C">
              <w:rPr>
                <w:rFonts w:eastAsia="Trebuchet MS"/>
                <w:bCs/>
              </w:rPr>
              <w:t>activității de constatare nereguli și stabilire de creanțe bugetare aferentă contractului economic pentru care a fost formulată sesizarea. Modificarea este necesară p</w:t>
            </w:r>
            <w:r w:rsidRPr="00F4799C">
              <w:rPr>
                <w:rFonts w:eastAsia="Trebuchet MS"/>
              </w:rPr>
              <w:t>entru a nu periclita îndeplinirea la termen a țintelor și jaloanelor, conform CID, se propune suspendarea actului administrativ constatator și posibilitatea de continuare a plăților, până la soluționarea definitivă a sesizării, de către instanțele de judecată.</w:t>
            </w:r>
          </w:p>
          <w:p w14:paraId="4BF0B2CC" w14:textId="093BFADE" w:rsidR="00056548" w:rsidRPr="00A2114C" w:rsidRDefault="00056548" w:rsidP="0064057C">
            <w:pPr>
              <w:widowControl w:val="0"/>
              <w:numPr>
                <w:ilvl w:val="0"/>
                <w:numId w:val="24"/>
              </w:numPr>
              <w:autoSpaceDE w:val="0"/>
              <w:autoSpaceDN w:val="0"/>
              <w:adjustRightInd w:val="0"/>
              <w:spacing w:line="276" w:lineRule="auto"/>
              <w:ind w:left="791"/>
              <w:jc w:val="both"/>
              <w:rPr>
                <w:bCs/>
              </w:rPr>
            </w:pPr>
            <w:r w:rsidRPr="00A2114C">
              <w:rPr>
                <w:bCs/>
              </w:rPr>
              <w:t>Se propune abrogarea prevederilor alin. (14) ale art. 31</w:t>
            </w:r>
            <w:r w:rsidR="0080633D" w:rsidRPr="00A2114C">
              <w:rPr>
                <w:bCs/>
              </w:rPr>
              <w:t xml:space="preserve"> pentru armonizarea cu prevederile legale supuse anterior modificării;</w:t>
            </w:r>
          </w:p>
          <w:p w14:paraId="5D13CA7F" w14:textId="1F89E46B" w:rsidR="0080633D" w:rsidRPr="00F4799C" w:rsidRDefault="0080633D" w:rsidP="0064057C">
            <w:pPr>
              <w:widowControl w:val="0"/>
              <w:numPr>
                <w:ilvl w:val="0"/>
                <w:numId w:val="24"/>
              </w:numPr>
              <w:autoSpaceDE w:val="0"/>
              <w:autoSpaceDN w:val="0"/>
              <w:adjustRightInd w:val="0"/>
              <w:spacing w:line="276" w:lineRule="auto"/>
              <w:ind w:left="791"/>
              <w:jc w:val="both"/>
              <w:rPr>
                <w:bCs/>
              </w:rPr>
            </w:pPr>
            <w:r w:rsidRPr="00F4799C">
              <w:rPr>
                <w:rFonts w:eastAsia="Trebuchet MS"/>
              </w:rPr>
              <w:t xml:space="preserve">Se propune modificarea art. 35 </w:t>
            </w:r>
            <w:r w:rsidR="00140655" w:rsidRPr="00F4799C">
              <w:rPr>
                <w:rFonts w:eastAsia="Trebuchet MS"/>
              </w:rPr>
              <w:t xml:space="preserve">alin. (1), </w:t>
            </w:r>
            <w:r w:rsidRPr="00F4799C">
              <w:t xml:space="preserve">având în vedere măsurile de </w:t>
            </w:r>
            <w:r w:rsidR="00140655" w:rsidRPr="00F4799C">
              <w:t>s</w:t>
            </w:r>
            <w:r w:rsidRPr="00F4799C">
              <w:t xml:space="preserve">ecuritate cibernetică, datele cu caracter personal, colectate și stocate, în sistemul informatic, cât și limitele de competență ale </w:t>
            </w:r>
            <w:r w:rsidRPr="00F4799C">
              <w:lastRenderedPageBreak/>
              <w:t>fiecărei instituții/autorități, este necesară stabilirea unor măsuri administrativ prin care să fie stabilite regulile de accesare, nominal, pentru fiec</w:t>
            </w:r>
            <w:r w:rsidR="004665F4">
              <w:t>are autoritate publică în parte</w:t>
            </w:r>
            <w:r w:rsidRPr="00F4799C">
              <w:rPr>
                <w:rFonts w:eastAsia="Trebuchet MS"/>
              </w:rPr>
              <w:t>.</w:t>
            </w:r>
          </w:p>
          <w:p w14:paraId="0779F22B" w14:textId="4D9DA821" w:rsidR="0080633D" w:rsidRPr="00A2114C" w:rsidRDefault="0080633D" w:rsidP="0064057C">
            <w:pPr>
              <w:widowControl w:val="0"/>
              <w:numPr>
                <w:ilvl w:val="0"/>
                <w:numId w:val="24"/>
              </w:numPr>
              <w:autoSpaceDE w:val="0"/>
              <w:autoSpaceDN w:val="0"/>
              <w:adjustRightInd w:val="0"/>
              <w:spacing w:line="276" w:lineRule="auto"/>
              <w:ind w:left="791"/>
              <w:jc w:val="both"/>
              <w:rPr>
                <w:bCs/>
              </w:rPr>
            </w:pPr>
            <w:r w:rsidRPr="00A2114C">
              <w:rPr>
                <w:bCs/>
              </w:rPr>
              <w:t>Se propune modificarea și completarea prevederilor art. 37 alin. (2), (4) și (5) pentru coerența actului normativ</w:t>
            </w:r>
            <w:r w:rsidR="00140655" w:rsidRPr="00A2114C">
              <w:rPr>
                <w:bCs/>
              </w:rPr>
              <w:t>.</w:t>
            </w:r>
          </w:p>
          <w:p w14:paraId="338D81A9" w14:textId="77777777" w:rsidR="0080633D" w:rsidRPr="00A2114C" w:rsidRDefault="0080633D" w:rsidP="0064057C">
            <w:pPr>
              <w:spacing w:line="276" w:lineRule="auto"/>
              <w:jc w:val="both"/>
              <w:rPr>
                <w:b/>
                <w:bCs/>
              </w:rPr>
            </w:pPr>
          </w:p>
          <w:p w14:paraId="3C092C89" w14:textId="77777777" w:rsidR="00303141" w:rsidRDefault="00303141" w:rsidP="0064057C">
            <w:pPr>
              <w:spacing w:line="276" w:lineRule="auto"/>
              <w:jc w:val="both"/>
              <w:rPr>
                <w:b/>
              </w:rPr>
            </w:pPr>
          </w:p>
          <w:p w14:paraId="7F0B6F9E" w14:textId="2DFB7E83" w:rsidR="00BA12B3" w:rsidRPr="00A2114C" w:rsidRDefault="004665F4" w:rsidP="0064057C">
            <w:pPr>
              <w:spacing w:line="276" w:lineRule="auto"/>
              <w:jc w:val="both"/>
            </w:pPr>
            <w:r>
              <w:rPr>
                <w:b/>
              </w:rPr>
              <w:t>I</w:t>
            </w:r>
            <w:r w:rsidR="00BA12B3" w:rsidRPr="00A2114C">
              <w:rPr>
                <w:b/>
              </w:rPr>
              <w:t>I.</w:t>
            </w:r>
            <w:r w:rsidR="00BA12B3" w:rsidRPr="00A2114C">
              <w:t xml:space="preserve"> </w:t>
            </w:r>
            <w:r w:rsidR="00AE0D66" w:rsidRPr="00A2114C">
              <w:t>Se creează cadrul legal pentru modificarea și completarea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aprobate prin Hotărârea Guvernului nr. 209/2022.</w:t>
            </w:r>
            <w:r w:rsidR="00CD6AB9" w:rsidRPr="00A2114C">
              <w:t>, în termen de 30 de zile de la data intrării în vigoare a prezentei ordonanţe</w:t>
            </w:r>
            <w:r w:rsidR="007D1FB4">
              <w:t xml:space="preserve"> de urgență</w:t>
            </w:r>
            <w:r w:rsidR="00AE0D66" w:rsidRPr="00A2114C">
              <w:t>.</w:t>
            </w:r>
          </w:p>
          <w:p w14:paraId="685D24EF" w14:textId="77777777" w:rsidR="00BA12B3" w:rsidRPr="00A2114C" w:rsidRDefault="00BA12B3" w:rsidP="0064057C">
            <w:pPr>
              <w:spacing w:line="276" w:lineRule="auto"/>
              <w:jc w:val="both"/>
            </w:pPr>
          </w:p>
          <w:p w14:paraId="71C6FAA0" w14:textId="77777777" w:rsidR="00140655" w:rsidRDefault="004665F4" w:rsidP="0000121D">
            <w:pPr>
              <w:spacing w:line="276" w:lineRule="auto"/>
              <w:jc w:val="both"/>
              <w:rPr>
                <w:rFonts w:eastAsia="Trebuchet MS"/>
              </w:rPr>
            </w:pPr>
            <w:r w:rsidRPr="004665F4">
              <w:rPr>
                <w:b/>
              </w:rPr>
              <w:t>III.</w:t>
            </w:r>
            <w:r>
              <w:t xml:space="preserve"> </w:t>
            </w:r>
            <w:r w:rsidR="00AE0D66" w:rsidRPr="00A2114C">
              <w:t xml:space="preserve">Se creează cadrul legal pentru republicarea </w:t>
            </w:r>
            <w:r w:rsidR="00AE0D66" w:rsidRPr="00A2114C">
              <w:rPr>
                <w:rFonts w:eastAsia="Trebuchet MS"/>
                <w:bCs/>
              </w:rPr>
              <w:t xml:space="preserve">Ordonanței de urgență a Guvernului nr. 124/2021 </w:t>
            </w:r>
            <w:r w:rsidR="00AE0D66" w:rsidRPr="00A2114C">
              <w:rPr>
                <w:rFonts w:eastAsia="Trebuchet MS"/>
                <w:bCs/>
                <w:i/>
              </w:rPr>
              <w:t>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AE0D66" w:rsidRPr="00A2114C">
              <w:rPr>
                <w:rFonts w:eastAsia="Trebuchet MS"/>
                <w:bCs/>
              </w:rPr>
              <w:t xml:space="preserve">, publicată în Monitorul Oficial al României, Partea I, nr. 1178 din 14 decembrie 2021, aprobată cu modificări și completări prin Legea nr. 178/2022, </w:t>
            </w:r>
            <w:r w:rsidR="00AE0D66" w:rsidRPr="00A2114C">
              <w:rPr>
                <w:rFonts w:eastAsia="Trebuchet MS"/>
              </w:rPr>
              <w:t>va fi republicată în Monitoru</w:t>
            </w:r>
            <w:r>
              <w:rPr>
                <w:rFonts w:eastAsia="Trebuchet MS"/>
              </w:rPr>
              <w:t>l Oficial al României, Partea I</w:t>
            </w:r>
            <w:r w:rsidR="0006547C" w:rsidRPr="00A2114C">
              <w:rPr>
                <w:rFonts w:eastAsia="Trebuchet MS"/>
              </w:rPr>
              <w:t xml:space="preserve">. </w:t>
            </w:r>
          </w:p>
          <w:p w14:paraId="45862F79" w14:textId="3EF901CD" w:rsidR="00303141" w:rsidRPr="00A2114C" w:rsidRDefault="00303141" w:rsidP="0000121D">
            <w:pPr>
              <w:spacing w:line="276" w:lineRule="auto"/>
              <w:jc w:val="both"/>
              <w:rPr>
                <w:bCs/>
                <w:lang w:eastAsia="en-GB"/>
              </w:rPr>
            </w:pPr>
          </w:p>
        </w:tc>
      </w:tr>
      <w:tr w:rsidR="001B42FA" w:rsidRPr="00A2114C" w14:paraId="6B402A63" w14:textId="77777777" w:rsidTr="009C70FA">
        <w:trPr>
          <w:trHeight w:val="841"/>
        </w:trPr>
        <w:tc>
          <w:tcPr>
            <w:tcW w:w="10490" w:type="dxa"/>
          </w:tcPr>
          <w:p w14:paraId="64D21A19" w14:textId="400C244B" w:rsidR="001B42FA" w:rsidRPr="00A2114C" w:rsidRDefault="003E2EA8" w:rsidP="0064057C">
            <w:pPr>
              <w:autoSpaceDE w:val="0"/>
              <w:autoSpaceDN w:val="0"/>
              <w:adjustRightInd w:val="0"/>
              <w:spacing w:line="276" w:lineRule="auto"/>
              <w:jc w:val="both"/>
              <w:rPr>
                <w:b/>
                <w:lang w:eastAsia="ro-RO"/>
              </w:rPr>
            </w:pPr>
            <w:r w:rsidRPr="00A2114C">
              <w:rPr>
                <w:b/>
                <w:bCs/>
                <w:lang w:eastAsia="en-GB"/>
              </w:rPr>
              <w:lastRenderedPageBreak/>
              <w:t>2.4 Alte informații *)</w:t>
            </w:r>
          </w:p>
        </w:tc>
      </w:tr>
    </w:tbl>
    <w:p w14:paraId="1BB4AA41" w14:textId="77777777" w:rsidR="0000121D" w:rsidRDefault="00DB715E" w:rsidP="0064057C">
      <w:pPr>
        <w:spacing w:line="276" w:lineRule="auto"/>
        <w:rPr>
          <w:b/>
        </w:rPr>
      </w:pPr>
      <w:r w:rsidRPr="00A2114C">
        <w:rPr>
          <w:b/>
        </w:rPr>
        <w:t xml:space="preserve">   </w:t>
      </w:r>
      <w:r w:rsidR="007C16BF" w:rsidRPr="00A2114C">
        <w:rPr>
          <w:b/>
        </w:rPr>
        <w:t xml:space="preserve">   </w:t>
      </w:r>
      <w:r w:rsidR="002D2045" w:rsidRPr="00A2114C">
        <w:rPr>
          <w:b/>
        </w:rPr>
        <w:tab/>
      </w:r>
    </w:p>
    <w:p w14:paraId="4794020D" w14:textId="32199D4F" w:rsidR="00223491" w:rsidRPr="00A2114C" w:rsidRDefault="003864F6" w:rsidP="0000121D">
      <w:pPr>
        <w:spacing w:line="276" w:lineRule="auto"/>
        <w:ind w:firstLine="720"/>
        <w:rPr>
          <w:b/>
        </w:rPr>
      </w:pPr>
      <w:r w:rsidRPr="00A2114C">
        <w:rPr>
          <w:b/>
        </w:rPr>
        <w:t>Secțiunea</w:t>
      </w:r>
      <w:r w:rsidR="00670C79" w:rsidRPr="00A2114C">
        <w:rPr>
          <w:b/>
        </w:rPr>
        <w:t xml:space="preserve"> a 3-a </w:t>
      </w:r>
    </w:p>
    <w:p w14:paraId="4E4A7A8E" w14:textId="1497639D" w:rsidR="00670C79" w:rsidRDefault="00670C79" w:rsidP="0064057C">
      <w:pPr>
        <w:spacing w:line="276" w:lineRule="auto"/>
        <w:ind w:firstLine="720"/>
        <w:rPr>
          <w:b/>
        </w:rPr>
      </w:pPr>
      <w:r w:rsidRPr="00A2114C">
        <w:rPr>
          <w:b/>
        </w:rPr>
        <w:t xml:space="preserve">Impactul socioeconomic </w:t>
      </w:r>
      <w:r w:rsidR="0064777F" w:rsidRPr="00A2114C">
        <w:rPr>
          <w:b/>
        </w:rPr>
        <w:t>**)</w:t>
      </w:r>
    </w:p>
    <w:p w14:paraId="0ED54479" w14:textId="5903C1C2" w:rsidR="00BA1894" w:rsidRDefault="00BA1894" w:rsidP="0064057C">
      <w:pPr>
        <w:spacing w:line="276" w:lineRule="auto"/>
        <w:ind w:firstLine="720"/>
        <w:rPr>
          <w:b/>
        </w:rPr>
      </w:pPr>
    </w:p>
    <w:p w14:paraId="002D1096" w14:textId="77777777" w:rsidR="00303141" w:rsidRDefault="00303141" w:rsidP="0064057C">
      <w:pPr>
        <w:spacing w:line="276" w:lineRule="auto"/>
        <w:ind w:firstLine="720"/>
        <w:rPr>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2B2AD7" w:rsidRPr="00A2114C" w14:paraId="4F7B7B5A" w14:textId="77777777" w:rsidTr="009C70FA">
        <w:tc>
          <w:tcPr>
            <w:tcW w:w="10533" w:type="dxa"/>
          </w:tcPr>
          <w:p w14:paraId="612A275C" w14:textId="77777777" w:rsidR="00F72189" w:rsidRPr="00A2114C" w:rsidRDefault="00F72189" w:rsidP="0064057C">
            <w:pPr>
              <w:spacing w:line="276" w:lineRule="auto"/>
              <w:jc w:val="both"/>
              <w:rPr>
                <w:b/>
              </w:rPr>
            </w:pPr>
            <w:r w:rsidRPr="00A2114C">
              <w:rPr>
                <w:b/>
              </w:rPr>
              <w:t>3.1 Descrierea generală a beneficiilor și costurilor estimate ca urmare a intrării în vigoare a actului normativ</w:t>
            </w:r>
          </w:p>
          <w:p w14:paraId="0675353F" w14:textId="77777777" w:rsidR="00F72189" w:rsidRPr="00A2114C" w:rsidRDefault="00F72189" w:rsidP="0064057C">
            <w:pPr>
              <w:spacing w:line="276" w:lineRule="auto"/>
              <w:jc w:val="both"/>
              <w:rPr>
                <w:b/>
              </w:rPr>
            </w:pPr>
            <w:r w:rsidRPr="00A2114C">
              <w:rPr>
                <w:b/>
              </w:rPr>
              <w:t>3.2 Impactul social</w:t>
            </w:r>
          </w:p>
          <w:p w14:paraId="06706991" w14:textId="77777777" w:rsidR="00FB45DC" w:rsidRPr="00A2114C" w:rsidRDefault="00FB45DC" w:rsidP="0064057C">
            <w:pPr>
              <w:spacing w:line="276" w:lineRule="auto"/>
              <w:jc w:val="both"/>
              <w:rPr>
                <w:bCs/>
              </w:rPr>
            </w:pPr>
            <w:r w:rsidRPr="00A2114C">
              <w:rPr>
                <w:bCs/>
              </w:rPr>
              <w:t xml:space="preserve">    a) impactul asupra grupurilor vulnerabile, aşa cum sunt definite de art. 6 lit. p) din Legea asistenţei sociale nr. 292/2011, cu modificările şi completările ulterioare, precum şi asupra serviciilor sociale;</w:t>
            </w:r>
          </w:p>
          <w:p w14:paraId="218EA104" w14:textId="77777777" w:rsidR="00FB45DC" w:rsidRPr="00A2114C" w:rsidRDefault="00FB45DC" w:rsidP="0064057C">
            <w:pPr>
              <w:spacing w:line="276" w:lineRule="auto"/>
              <w:jc w:val="both"/>
              <w:rPr>
                <w:bCs/>
              </w:rPr>
            </w:pPr>
            <w:r w:rsidRPr="00A2114C">
              <w:rPr>
                <w:bCs/>
              </w:rPr>
              <w:t xml:space="preserve">    b) impactul asupra veniturilor populaţiei, ocupării forţei de muncă, asupra condiţiilor şi standardelor la locul de muncă;</w:t>
            </w:r>
          </w:p>
          <w:p w14:paraId="77C3D8E9" w14:textId="77777777" w:rsidR="00FB45DC" w:rsidRPr="00A2114C" w:rsidRDefault="00FB45DC" w:rsidP="0064057C">
            <w:pPr>
              <w:spacing w:line="276" w:lineRule="auto"/>
              <w:jc w:val="both"/>
              <w:rPr>
                <w:bCs/>
              </w:rPr>
            </w:pPr>
            <w:r w:rsidRPr="00A2114C">
              <w:rPr>
                <w:bCs/>
              </w:rPr>
              <w:t xml:space="preserve">    c) impactul asupra sănătăţii populaţiei, siguranţei alimentare şi nutriţiei, precum şi asupra sistemului de sănătate;</w:t>
            </w:r>
          </w:p>
          <w:p w14:paraId="2F656745" w14:textId="77777777" w:rsidR="00FB45DC" w:rsidRPr="00A2114C" w:rsidRDefault="00FB45DC" w:rsidP="0064057C">
            <w:pPr>
              <w:spacing w:line="276" w:lineRule="auto"/>
              <w:jc w:val="both"/>
              <w:rPr>
                <w:bCs/>
              </w:rPr>
            </w:pPr>
            <w:r w:rsidRPr="00A2114C">
              <w:rPr>
                <w:bCs/>
              </w:rPr>
              <w:t xml:space="preserve">    d) impactul asupra siguranţei cetăţenilor;</w:t>
            </w:r>
          </w:p>
          <w:p w14:paraId="60378906" w14:textId="77777777" w:rsidR="00FB45DC" w:rsidRPr="00A2114C" w:rsidRDefault="00FB45DC" w:rsidP="0064057C">
            <w:pPr>
              <w:spacing w:line="276" w:lineRule="auto"/>
              <w:jc w:val="both"/>
              <w:rPr>
                <w:bCs/>
              </w:rPr>
            </w:pPr>
            <w:r w:rsidRPr="00A2114C">
              <w:rPr>
                <w:bCs/>
              </w:rPr>
              <w:t xml:space="preserve">    e) impactul asupra educaţiei şi învăţării pe tot parcursul vieţii;</w:t>
            </w:r>
          </w:p>
          <w:p w14:paraId="4D90858B" w14:textId="77777777" w:rsidR="00FB45DC" w:rsidRPr="00A2114C" w:rsidRDefault="00FB45DC" w:rsidP="0064057C">
            <w:pPr>
              <w:spacing w:line="276" w:lineRule="auto"/>
              <w:jc w:val="both"/>
              <w:rPr>
                <w:bCs/>
              </w:rPr>
            </w:pPr>
            <w:r w:rsidRPr="00A2114C">
              <w:rPr>
                <w:bCs/>
              </w:rPr>
              <w:lastRenderedPageBreak/>
              <w:t xml:space="preserve">    f) impactul asupra domeniului tineret;</w:t>
            </w:r>
          </w:p>
          <w:p w14:paraId="3C600195" w14:textId="77777777" w:rsidR="00FB45DC" w:rsidRPr="00A2114C" w:rsidRDefault="00FB45DC" w:rsidP="0064057C">
            <w:pPr>
              <w:spacing w:line="276" w:lineRule="auto"/>
              <w:jc w:val="both"/>
              <w:rPr>
                <w:bCs/>
              </w:rPr>
            </w:pPr>
            <w:r w:rsidRPr="00A2114C">
              <w:rPr>
                <w:bCs/>
              </w:rPr>
              <w:t xml:space="preserve">    g) impactul asupra domeniului cultural;</w:t>
            </w:r>
          </w:p>
          <w:p w14:paraId="4A299409" w14:textId="77777777" w:rsidR="00FB45DC" w:rsidRPr="00A2114C" w:rsidRDefault="00FB45DC" w:rsidP="0064057C">
            <w:pPr>
              <w:spacing w:line="276" w:lineRule="auto"/>
              <w:jc w:val="both"/>
              <w:rPr>
                <w:bCs/>
              </w:rPr>
            </w:pPr>
            <w:r w:rsidRPr="00A2114C">
              <w:rPr>
                <w:bCs/>
              </w:rPr>
              <w:t xml:space="preserve">    h) impactul asupra drepturilor şi libertăţilor fundamentale ale omului;</w:t>
            </w:r>
          </w:p>
          <w:p w14:paraId="3820EE1E" w14:textId="77777777" w:rsidR="00FB45DC" w:rsidRPr="00A2114C" w:rsidRDefault="00FB45DC" w:rsidP="0064057C">
            <w:pPr>
              <w:spacing w:line="276" w:lineRule="auto"/>
              <w:jc w:val="both"/>
              <w:rPr>
                <w:bCs/>
              </w:rPr>
            </w:pPr>
            <w:r w:rsidRPr="00A2114C">
              <w:rPr>
                <w:bCs/>
              </w:rPr>
              <w:t xml:space="preserve">    i) impactul asupra respectării principiului egalităţii de şanse şi nondiscriminării;</w:t>
            </w:r>
          </w:p>
          <w:p w14:paraId="190C27FD" w14:textId="29C1047B" w:rsidR="00FB45DC" w:rsidRDefault="00FB45DC" w:rsidP="0064057C">
            <w:pPr>
              <w:spacing w:line="276" w:lineRule="auto"/>
              <w:jc w:val="both"/>
              <w:rPr>
                <w:bCs/>
              </w:rPr>
            </w:pPr>
            <w:r w:rsidRPr="00A2114C">
              <w:rPr>
                <w:bCs/>
              </w:rPr>
              <w:t xml:space="preserve">    j) impactul asupra administraţiei publice centrale şi locale, inclusiv din perspectiva costurilor şi beneficiilor directe şi indirecte preconizate.</w:t>
            </w:r>
          </w:p>
          <w:p w14:paraId="6CD59901" w14:textId="66385E72" w:rsidR="00BA1894" w:rsidRDefault="00BA1894" w:rsidP="0064057C">
            <w:pPr>
              <w:spacing w:line="276" w:lineRule="auto"/>
              <w:jc w:val="both"/>
              <w:rPr>
                <w:bCs/>
              </w:rPr>
            </w:pPr>
          </w:p>
          <w:p w14:paraId="71A3E7CB" w14:textId="232B29F4" w:rsidR="00F72189" w:rsidRPr="00A2114C" w:rsidRDefault="00F72189" w:rsidP="0064057C">
            <w:pPr>
              <w:spacing w:line="276" w:lineRule="auto"/>
              <w:jc w:val="both"/>
              <w:rPr>
                <w:b/>
              </w:rPr>
            </w:pPr>
            <w:r w:rsidRPr="00A2114C">
              <w:rPr>
                <w:b/>
              </w:rPr>
              <w:t xml:space="preserve">3.3. Impactul asupra drepturilor și libertăților fundamentale ale omului </w:t>
            </w:r>
          </w:p>
          <w:p w14:paraId="33B1CD28" w14:textId="42B1943C" w:rsidR="00FB45DC" w:rsidRPr="00A2114C" w:rsidRDefault="00FB45DC" w:rsidP="0064057C">
            <w:pPr>
              <w:spacing w:line="276" w:lineRule="auto"/>
              <w:jc w:val="both"/>
              <w:rPr>
                <w:bCs/>
              </w:rPr>
            </w:pPr>
            <w:r w:rsidRPr="00A2114C">
              <w:rPr>
                <w:bCs/>
              </w:rPr>
              <w:t xml:space="preserve">    a) descrierea impactului măsurilor cuprinse în proiectul de act normativ asupra drepturilor şi libertăţilor fundamentale ale omului;</w:t>
            </w:r>
          </w:p>
          <w:p w14:paraId="47184455" w14:textId="77777777" w:rsidR="00FB45DC" w:rsidRPr="00A2114C" w:rsidRDefault="00FB45DC" w:rsidP="0064057C">
            <w:pPr>
              <w:spacing w:line="276" w:lineRule="auto"/>
              <w:jc w:val="both"/>
              <w:rPr>
                <w:bCs/>
              </w:rPr>
            </w:pPr>
            <w:r w:rsidRPr="00A2114C">
              <w:rPr>
                <w:bCs/>
              </w:rPr>
              <w:t xml:space="preserve">    b) descrierea modalităţii în care aplicarea proiectului de act normativ va evita limitări ale unor drepturi şi libertăţi;</w:t>
            </w:r>
          </w:p>
          <w:p w14:paraId="49F54BE2" w14:textId="090251B1" w:rsidR="00FB45DC" w:rsidRPr="00A2114C" w:rsidRDefault="00FB45DC" w:rsidP="0064057C">
            <w:pPr>
              <w:spacing w:line="276" w:lineRule="auto"/>
              <w:jc w:val="both"/>
              <w:rPr>
                <w:bCs/>
              </w:rPr>
            </w:pPr>
            <w:r w:rsidRPr="00A2114C">
              <w:rPr>
                <w:bCs/>
              </w:rPr>
              <w:t xml:space="preserve">    c) corelarea cu dispoziţiile Convenţiei pentru apărarea drepturilor omului şi a libertăţilor fundamentale şi ale protocoalelor adiţionale la aceasta, ratificate de România, precum şi cu jurisprudenţa Curţii Europene a Drepturilor Omului.</w:t>
            </w:r>
          </w:p>
          <w:p w14:paraId="139B6ECC" w14:textId="3BEF0A3B" w:rsidR="00FB45DC" w:rsidRPr="00A2114C" w:rsidRDefault="00FD3526" w:rsidP="0064057C">
            <w:pPr>
              <w:spacing w:line="276" w:lineRule="auto"/>
              <w:jc w:val="both"/>
              <w:rPr>
                <w:b/>
                <w:color w:val="FF0000"/>
              </w:rPr>
            </w:pPr>
            <w:r w:rsidRPr="001A52F1">
              <w:rPr>
                <w:b/>
              </w:rPr>
              <w:t>3.4. Impactul macroeconomic</w:t>
            </w:r>
          </w:p>
          <w:p w14:paraId="4D194D62" w14:textId="77777777" w:rsidR="001A52F1" w:rsidRPr="00A2114C" w:rsidRDefault="001A52F1" w:rsidP="0064057C">
            <w:pPr>
              <w:spacing w:line="276" w:lineRule="auto"/>
              <w:jc w:val="both"/>
            </w:pPr>
            <w:r w:rsidRPr="00A2114C">
              <w:t>Proiectul de act normativ nu se referă la acest subiect.</w:t>
            </w:r>
          </w:p>
          <w:p w14:paraId="164EC38B" w14:textId="4863D9E5" w:rsidR="00F72189" w:rsidRPr="00A2114C" w:rsidRDefault="00F72189" w:rsidP="0064057C">
            <w:pPr>
              <w:spacing w:line="276" w:lineRule="auto"/>
              <w:jc w:val="both"/>
              <w:rPr>
                <w:b/>
              </w:rPr>
            </w:pPr>
            <w:r w:rsidRPr="00A2114C">
              <w:rPr>
                <w:b/>
              </w:rPr>
              <w:t>3.</w:t>
            </w:r>
            <w:r w:rsidR="00FD3526" w:rsidRPr="00A2114C">
              <w:rPr>
                <w:b/>
              </w:rPr>
              <w:t>4</w:t>
            </w:r>
            <w:r w:rsidRPr="00A2114C">
              <w:rPr>
                <w:b/>
              </w:rPr>
              <w:t xml:space="preserve">.1 Impactul asupra </w:t>
            </w:r>
            <w:r w:rsidR="00FD3526" w:rsidRPr="00A2114C">
              <w:rPr>
                <w:b/>
              </w:rPr>
              <w:t xml:space="preserve">economiei și asupra </w:t>
            </w:r>
            <w:r w:rsidRPr="00A2114C">
              <w:rPr>
                <w:b/>
              </w:rPr>
              <w:t>principalilor indicatori macroeconomici</w:t>
            </w:r>
          </w:p>
          <w:p w14:paraId="52850EAE" w14:textId="77777777" w:rsidR="00D30B06" w:rsidRPr="00A2114C" w:rsidRDefault="00D30B06" w:rsidP="0064057C">
            <w:pPr>
              <w:spacing w:line="276" w:lineRule="auto"/>
              <w:jc w:val="both"/>
            </w:pPr>
            <w:r w:rsidRPr="00A2114C">
              <w:t>Proiectul de act normativ nu se referă la acest subiect.</w:t>
            </w:r>
          </w:p>
          <w:p w14:paraId="18C98DD5" w14:textId="3E18A52A" w:rsidR="00F72189" w:rsidRPr="00A2114C" w:rsidRDefault="00F72189" w:rsidP="0064057C">
            <w:pPr>
              <w:spacing w:line="276" w:lineRule="auto"/>
              <w:jc w:val="both"/>
              <w:rPr>
                <w:b/>
              </w:rPr>
            </w:pPr>
            <w:r w:rsidRPr="00A2114C">
              <w:rPr>
                <w:b/>
              </w:rPr>
              <w:t>3.</w:t>
            </w:r>
            <w:r w:rsidR="00FD3526" w:rsidRPr="00A2114C">
              <w:rPr>
                <w:b/>
              </w:rPr>
              <w:t>4</w:t>
            </w:r>
            <w:r w:rsidRPr="00A2114C">
              <w:rPr>
                <w:b/>
              </w:rPr>
              <w:t>.2 Impactul asupra mediului concurențial si domeniul</w:t>
            </w:r>
            <w:r w:rsidR="00FB45DC" w:rsidRPr="00A2114C">
              <w:rPr>
                <w:b/>
              </w:rPr>
              <w:t>ui</w:t>
            </w:r>
            <w:r w:rsidRPr="00A2114C">
              <w:rPr>
                <w:b/>
              </w:rPr>
              <w:t xml:space="preserve"> ajutoarelor de stat</w:t>
            </w:r>
          </w:p>
          <w:p w14:paraId="39875987" w14:textId="623B8A5D" w:rsidR="009545F6" w:rsidRPr="00A2114C" w:rsidRDefault="009545F6" w:rsidP="0064057C">
            <w:pPr>
              <w:pStyle w:val="NormalWeb"/>
              <w:spacing w:before="0" w:beforeAutospacing="0" w:after="0" w:afterAutospacing="0" w:line="276" w:lineRule="auto"/>
              <w:jc w:val="both"/>
            </w:pPr>
            <w:r w:rsidRPr="00A2114C">
              <w:t xml:space="preserve">Proiectul de act normativ are impact asupra mediului concurenţial şi domeniului ajutoarelor de stat. </w:t>
            </w:r>
          </w:p>
          <w:p w14:paraId="18826DC8" w14:textId="77777777" w:rsidR="009545F6" w:rsidRPr="00A2114C" w:rsidRDefault="009545F6" w:rsidP="0064057C">
            <w:pPr>
              <w:pStyle w:val="NormalWeb"/>
              <w:spacing w:before="0" w:beforeAutospacing="0" w:after="0" w:afterAutospacing="0" w:line="276" w:lineRule="auto"/>
              <w:jc w:val="both"/>
            </w:pPr>
            <w:r w:rsidRPr="00A2114C">
              <w:t>Reformele și investițiile din cadrul PNRR se implementează inclusiv prin intermediul schemelor de ajutor de stat/de minimis. Conform prevederilor din Planul național de redresare și reziliență, a fost stipulată necesitatea asigurării conformității cu regulile naționale și europene aplicabile domeniului ajutoarelor de stat.</w:t>
            </w:r>
          </w:p>
          <w:p w14:paraId="08CC60DE" w14:textId="3D060709" w:rsidR="009545F6" w:rsidRDefault="00F72189" w:rsidP="0064057C">
            <w:pPr>
              <w:spacing w:line="276" w:lineRule="auto"/>
              <w:jc w:val="both"/>
              <w:rPr>
                <w:b/>
              </w:rPr>
            </w:pPr>
            <w:r w:rsidRPr="00A2114C">
              <w:rPr>
                <w:b/>
              </w:rPr>
              <w:t>3.</w:t>
            </w:r>
            <w:r w:rsidR="00FD3526" w:rsidRPr="00A2114C">
              <w:rPr>
                <w:b/>
              </w:rPr>
              <w:t>5</w:t>
            </w:r>
            <w:r w:rsidRPr="00A2114C">
              <w:rPr>
                <w:b/>
              </w:rPr>
              <w:t>. Impactul asupra mediului de afaceri</w:t>
            </w:r>
          </w:p>
          <w:p w14:paraId="2B48AE27" w14:textId="7B1C2B57" w:rsidR="0064057C" w:rsidRPr="00A2114C" w:rsidRDefault="0064057C" w:rsidP="0064057C">
            <w:pPr>
              <w:spacing w:line="276" w:lineRule="auto"/>
              <w:jc w:val="both"/>
              <w:rPr>
                <w:b/>
              </w:rPr>
            </w:pPr>
            <w:r w:rsidRPr="00A2114C">
              <w:t>Proiectul de act normativ nu se referă la acest subiect.</w:t>
            </w:r>
          </w:p>
          <w:p w14:paraId="6BA44179" w14:textId="07FDCC69" w:rsidR="00FD3526" w:rsidRPr="00A2114C" w:rsidRDefault="00FD3526" w:rsidP="0064057C">
            <w:pPr>
              <w:spacing w:line="276" w:lineRule="auto"/>
              <w:jc w:val="both"/>
              <w:rPr>
                <w:b/>
              </w:rPr>
            </w:pPr>
            <w:r w:rsidRPr="00A2114C">
              <w:rPr>
                <w:b/>
              </w:rPr>
              <w:t>3.6 Impactul asupra mediului înconjurător</w:t>
            </w:r>
          </w:p>
          <w:p w14:paraId="41ACF09B" w14:textId="61DEA4D7" w:rsidR="00031D8D" w:rsidRPr="00A2114C" w:rsidRDefault="00031D8D" w:rsidP="0064057C">
            <w:pPr>
              <w:spacing w:line="276" w:lineRule="auto"/>
              <w:jc w:val="both"/>
              <w:rPr>
                <w:b/>
                <w:bCs/>
              </w:rPr>
            </w:pPr>
            <w:r w:rsidRPr="00A2114C">
              <w:t xml:space="preserve">    </w:t>
            </w:r>
            <w:r w:rsidR="00D30B06" w:rsidRPr="00A2114C">
              <w:t>Proiectul de act normativ nu se referă la acest subiect.</w:t>
            </w:r>
          </w:p>
          <w:p w14:paraId="55CFDA7E" w14:textId="7F8C3A7E" w:rsidR="00FD3526" w:rsidRPr="00A2114C" w:rsidRDefault="00FD3526" w:rsidP="0064057C">
            <w:pPr>
              <w:spacing w:line="276" w:lineRule="auto"/>
              <w:jc w:val="both"/>
              <w:rPr>
                <w:b/>
                <w:bCs/>
              </w:rPr>
            </w:pPr>
            <w:r w:rsidRPr="00A2114C">
              <w:rPr>
                <w:b/>
                <w:bCs/>
              </w:rPr>
              <w:t>3.7. Evaluarea costurilor și beneficiilor din perspectiva inovării și digitalizării</w:t>
            </w:r>
          </w:p>
          <w:p w14:paraId="4590BA78" w14:textId="792CE08B" w:rsidR="00031D8D" w:rsidRPr="00A2114C" w:rsidRDefault="00031D8D" w:rsidP="0064057C">
            <w:pPr>
              <w:spacing w:line="276" w:lineRule="auto"/>
              <w:jc w:val="both"/>
              <w:rPr>
                <w:b/>
                <w:bCs/>
              </w:rPr>
            </w:pPr>
            <w:r w:rsidRPr="00A2114C">
              <w:t xml:space="preserve">    </w:t>
            </w:r>
            <w:r w:rsidR="00D30B06" w:rsidRPr="00A2114C">
              <w:t>Proiectul de act normativ nu se referă la acest subiect.</w:t>
            </w:r>
          </w:p>
          <w:p w14:paraId="3CFEFC6B" w14:textId="6B7012DE" w:rsidR="00FD3526" w:rsidRPr="00A2114C" w:rsidRDefault="00FD3526" w:rsidP="0064057C">
            <w:pPr>
              <w:spacing w:line="276" w:lineRule="auto"/>
              <w:jc w:val="both"/>
              <w:rPr>
                <w:b/>
                <w:bCs/>
              </w:rPr>
            </w:pPr>
            <w:r w:rsidRPr="00A2114C">
              <w:rPr>
                <w:b/>
                <w:bCs/>
              </w:rPr>
              <w:t>3.8 Evaluarea costurilor și beneficiilor din perspectiva dezvoltării durabile</w:t>
            </w:r>
          </w:p>
          <w:p w14:paraId="703E42F4" w14:textId="0DAEE435" w:rsidR="0046279C" w:rsidRPr="00A2114C" w:rsidRDefault="00D30B06" w:rsidP="0064057C">
            <w:pPr>
              <w:spacing w:line="276" w:lineRule="auto"/>
              <w:jc w:val="both"/>
            </w:pPr>
            <w:r w:rsidRPr="00A2114C">
              <w:t xml:space="preserve"> Proiectul de act normativ nu se referă la acest subiect.</w:t>
            </w:r>
          </w:p>
          <w:p w14:paraId="041FB550" w14:textId="47581C68" w:rsidR="009545F6" w:rsidRPr="00A2114C" w:rsidRDefault="0046279C" w:rsidP="0064057C">
            <w:pPr>
              <w:spacing w:line="276" w:lineRule="auto"/>
              <w:jc w:val="both"/>
              <w:rPr>
                <w:b/>
                <w:bCs/>
              </w:rPr>
            </w:pPr>
            <w:r w:rsidRPr="00A2114C">
              <w:t xml:space="preserve"> </w:t>
            </w:r>
            <w:r w:rsidR="00FD3526" w:rsidRPr="00A2114C">
              <w:rPr>
                <w:b/>
                <w:bCs/>
              </w:rPr>
              <w:t>3.9. Alte informații</w:t>
            </w:r>
          </w:p>
        </w:tc>
      </w:tr>
    </w:tbl>
    <w:p w14:paraId="288C6A1B" w14:textId="77777777" w:rsidR="00BA1894" w:rsidRDefault="00BA1894" w:rsidP="0064057C">
      <w:pPr>
        <w:spacing w:line="276" w:lineRule="auto"/>
        <w:ind w:firstLine="720"/>
        <w:jc w:val="both"/>
        <w:rPr>
          <w:b/>
        </w:rPr>
      </w:pPr>
    </w:p>
    <w:p w14:paraId="20A2BC5C" w14:textId="572E5C01" w:rsidR="005A13C5" w:rsidRPr="00A2114C" w:rsidRDefault="00670C79" w:rsidP="0064057C">
      <w:pPr>
        <w:spacing w:line="276" w:lineRule="auto"/>
        <w:ind w:firstLine="720"/>
        <w:jc w:val="both"/>
        <w:rPr>
          <w:b/>
        </w:rPr>
      </w:pPr>
      <w:r w:rsidRPr="00A2114C">
        <w:rPr>
          <w:b/>
        </w:rPr>
        <w:t xml:space="preserve">Secţiunea a 4-a </w:t>
      </w:r>
    </w:p>
    <w:p w14:paraId="34AED0C5" w14:textId="62EE1554" w:rsidR="00670C79" w:rsidRDefault="00670C79" w:rsidP="0064057C">
      <w:pPr>
        <w:spacing w:line="276" w:lineRule="auto"/>
        <w:ind w:firstLine="720"/>
        <w:jc w:val="both"/>
        <w:rPr>
          <w:b/>
        </w:rPr>
      </w:pPr>
      <w:r w:rsidRPr="00A2114C">
        <w:rPr>
          <w:b/>
        </w:rPr>
        <w:t xml:space="preserve">Impactul financiar asupra bugetului </w:t>
      </w:r>
      <w:r w:rsidR="0064777F" w:rsidRPr="00A2114C">
        <w:rPr>
          <w:b/>
        </w:rPr>
        <w:t>general</w:t>
      </w:r>
      <w:r w:rsidRPr="00A2114C">
        <w:rPr>
          <w:b/>
        </w:rPr>
        <w:t xml:space="preserve"> consolidat atât pe termen scurt, pentru</w:t>
      </w:r>
      <w:r w:rsidR="00DB71DB" w:rsidRPr="00A2114C">
        <w:rPr>
          <w:b/>
        </w:rPr>
        <w:t xml:space="preserve"> </w:t>
      </w:r>
      <w:r w:rsidRPr="00A2114C">
        <w:rPr>
          <w:b/>
        </w:rPr>
        <w:t>anul curent, cât şi pe termen lung (pe 5 ani)</w:t>
      </w:r>
      <w:r w:rsidR="003034B1" w:rsidRPr="00A2114C">
        <w:rPr>
          <w:b/>
        </w:rPr>
        <w:t>, inclusiv informații cu privire la cheltuieli și venituri</w:t>
      </w:r>
      <w:r w:rsidR="0064777F" w:rsidRPr="00A2114C">
        <w:rPr>
          <w:b/>
        </w:rPr>
        <w:t xml:space="preserve"> ***)</w:t>
      </w:r>
    </w:p>
    <w:p w14:paraId="62B51879" w14:textId="77777777" w:rsidR="00303141" w:rsidRDefault="00303141" w:rsidP="0064057C">
      <w:pPr>
        <w:spacing w:line="276" w:lineRule="auto"/>
        <w:ind w:firstLine="720"/>
        <w:jc w:val="both"/>
        <w:rPr>
          <w:b/>
        </w:rPr>
      </w:pPr>
    </w:p>
    <w:p w14:paraId="59F88B4B" w14:textId="77777777" w:rsidR="00BA1894" w:rsidRDefault="00BA1894" w:rsidP="0064057C">
      <w:pPr>
        <w:spacing w:line="276" w:lineRule="auto"/>
        <w:ind w:firstLine="720"/>
        <w:jc w:val="both"/>
        <w:rPr>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2B2AD7" w:rsidRPr="00A2114C" w14:paraId="0C843357" w14:textId="77777777" w:rsidTr="009C70FA">
        <w:tc>
          <w:tcPr>
            <w:tcW w:w="10533" w:type="dxa"/>
            <w:gridSpan w:val="7"/>
          </w:tcPr>
          <w:p w14:paraId="33061C9B" w14:textId="7824EB12" w:rsidR="009A76F9" w:rsidRPr="00A2114C" w:rsidRDefault="009A76F9" w:rsidP="0064057C">
            <w:pPr>
              <w:pStyle w:val="ListParagraph"/>
              <w:numPr>
                <w:ilvl w:val="0"/>
                <w:numId w:val="13"/>
              </w:numPr>
              <w:spacing w:line="276" w:lineRule="auto"/>
              <w:jc w:val="right"/>
              <w:rPr>
                <w:rFonts w:ascii="Times New Roman" w:hAnsi="Times New Roman" w:cs="Times New Roman"/>
              </w:rPr>
            </w:pPr>
            <w:r w:rsidRPr="00A2114C">
              <w:rPr>
                <w:rFonts w:ascii="Times New Roman" w:hAnsi="Times New Roman" w:cs="Times New Roman"/>
              </w:rPr>
              <w:t>În mii lei (RON)</w:t>
            </w:r>
          </w:p>
        </w:tc>
      </w:tr>
      <w:tr w:rsidR="002B2AD7" w:rsidRPr="00A2114C" w14:paraId="57D824B3" w14:textId="77777777" w:rsidTr="005A13C5">
        <w:tc>
          <w:tcPr>
            <w:tcW w:w="2694" w:type="dxa"/>
          </w:tcPr>
          <w:p w14:paraId="318BEE35" w14:textId="77777777" w:rsidR="00670C79" w:rsidRPr="00A2114C" w:rsidRDefault="00670C79" w:rsidP="0064057C">
            <w:pPr>
              <w:pStyle w:val="Heading2"/>
              <w:spacing w:line="276" w:lineRule="auto"/>
              <w:rPr>
                <w:sz w:val="24"/>
              </w:rPr>
            </w:pPr>
            <w:r w:rsidRPr="00A2114C">
              <w:rPr>
                <w:sz w:val="24"/>
              </w:rPr>
              <w:lastRenderedPageBreak/>
              <w:t>Indicatori</w:t>
            </w:r>
          </w:p>
        </w:tc>
        <w:tc>
          <w:tcPr>
            <w:tcW w:w="1058" w:type="dxa"/>
          </w:tcPr>
          <w:p w14:paraId="603E3C85" w14:textId="129C77CD" w:rsidR="00670C79" w:rsidRPr="00A2114C" w:rsidRDefault="00670C79" w:rsidP="0064057C">
            <w:pPr>
              <w:spacing w:line="276" w:lineRule="auto"/>
              <w:jc w:val="center"/>
            </w:pPr>
            <w:r w:rsidRPr="00A2114C">
              <w:t>An</w:t>
            </w:r>
            <w:r w:rsidR="009A76F9" w:rsidRPr="00A2114C">
              <w:t>ul</w:t>
            </w:r>
            <w:r w:rsidRPr="00A2114C">
              <w:t xml:space="preserve"> curent</w:t>
            </w:r>
          </w:p>
        </w:tc>
        <w:tc>
          <w:tcPr>
            <w:tcW w:w="5333" w:type="dxa"/>
            <w:gridSpan w:val="4"/>
          </w:tcPr>
          <w:p w14:paraId="4EA4AF47" w14:textId="77777777" w:rsidR="00670C79" w:rsidRPr="00A2114C" w:rsidRDefault="00670C79" w:rsidP="0064057C">
            <w:pPr>
              <w:spacing w:line="276" w:lineRule="auto"/>
              <w:jc w:val="center"/>
            </w:pPr>
            <w:r w:rsidRPr="00A2114C">
              <w:t>Următorii 4 ani</w:t>
            </w:r>
          </w:p>
        </w:tc>
        <w:tc>
          <w:tcPr>
            <w:tcW w:w="1448" w:type="dxa"/>
          </w:tcPr>
          <w:p w14:paraId="1EE52564" w14:textId="74A4CFA0" w:rsidR="00670C79" w:rsidRPr="00A2114C" w:rsidRDefault="00670C79" w:rsidP="0064057C">
            <w:pPr>
              <w:spacing w:line="276" w:lineRule="auto"/>
              <w:jc w:val="center"/>
            </w:pPr>
            <w:r w:rsidRPr="00A2114C">
              <w:t xml:space="preserve">Media </w:t>
            </w:r>
            <w:r w:rsidR="009A76F9" w:rsidRPr="00A2114C">
              <w:t>pe</w:t>
            </w:r>
            <w:r w:rsidRPr="00A2114C">
              <w:t xml:space="preserve"> 5 ani</w:t>
            </w:r>
          </w:p>
        </w:tc>
      </w:tr>
      <w:tr w:rsidR="002B2AD7" w:rsidRPr="00A2114C" w14:paraId="31AEB740" w14:textId="77777777" w:rsidTr="005A13C5">
        <w:tc>
          <w:tcPr>
            <w:tcW w:w="2694" w:type="dxa"/>
          </w:tcPr>
          <w:p w14:paraId="1A04C9C9" w14:textId="77777777" w:rsidR="00670C79" w:rsidRPr="00A2114C" w:rsidRDefault="00670C79" w:rsidP="0064057C">
            <w:pPr>
              <w:spacing w:line="276" w:lineRule="auto"/>
              <w:jc w:val="center"/>
            </w:pPr>
            <w:r w:rsidRPr="00A2114C">
              <w:t>1</w:t>
            </w:r>
          </w:p>
        </w:tc>
        <w:tc>
          <w:tcPr>
            <w:tcW w:w="1058" w:type="dxa"/>
            <w:vAlign w:val="center"/>
          </w:tcPr>
          <w:p w14:paraId="44BDE6EE" w14:textId="77777777" w:rsidR="00670C79" w:rsidRPr="00A2114C" w:rsidRDefault="00670C79" w:rsidP="0064057C">
            <w:pPr>
              <w:spacing w:line="276" w:lineRule="auto"/>
              <w:jc w:val="center"/>
            </w:pPr>
            <w:r w:rsidRPr="00A2114C">
              <w:t>2</w:t>
            </w:r>
          </w:p>
        </w:tc>
        <w:tc>
          <w:tcPr>
            <w:tcW w:w="1366" w:type="dxa"/>
            <w:vAlign w:val="center"/>
          </w:tcPr>
          <w:p w14:paraId="44511A2B" w14:textId="77777777" w:rsidR="00670C79" w:rsidRPr="00A2114C" w:rsidRDefault="00670C79" w:rsidP="0064057C">
            <w:pPr>
              <w:spacing w:line="276" w:lineRule="auto"/>
              <w:jc w:val="center"/>
            </w:pPr>
            <w:r w:rsidRPr="00A2114C">
              <w:t>3</w:t>
            </w:r>
          </w:p>
        </w:tc>
        <w:tc>
          <w:tcPr>
            <w:tcW w:w="1466" w:type="dxa"/>
            <w:vAlign w:val="center"/>
          </w:tcPr>
          <w:p w14:paraId="7665B810" w14:textId="77777777" w:rsidR="00670C79" w:rsidRPr="00A2114C" w:rsidRDefault="00670C79" w:rsidP="0064057C">
            <w:pPr>
              <w:spacing w:line="276" w:lineRule="auto"/>
              <w:jc w:val="center"/>
            </w:pPr>
            <w:r w:rsidRPr="00A2114C">
              <w:t>4</w:t>
            </w:r>
          </w:p>
        </w:tc>
        <w:tc>
          <w:tcPr>
            <w:tcW w:w="1366" w:type="dxa"/>
            <w:vAlign w:val="center"/>
          </w:tcPr>
          <w:p w14:paraId="375332DA" w14:textId="77777777" w:rsidR="00670C79" w:rsidRPr="00A2114C" w:rsidRDefault="00670C79" w:rsidP="0064057C">
            <w:pPr>
              <w:spacing w:line="276" w:lineRule="auto"/>
              <w:jc w:val="center"/>
            </w:pPr>
            <w:r w:rsidRPr="00A2114C">
              <w:t>5</w:t>
            </w:r>
          </w:p>
        </w:tc>
        <w:tc>
          <w:tcPr>
            <w:tcW w:w="1135" w:type="dxa"/>
            <w:vAlign w:val="center"/>
          </w:tcPr>
          <w:p w14:paraId="0DD2A48C" w14:textId="77777777" w:rsidR="00670C79" w:rsidRPr="00A2114C" w:rsidRDefault="00670C79" w:rsidP="0064057C">
            <w:pPr>
              <w:spacing w:line="276" w:lineRule="auto"/>
              <w:jc w:val="center"/>
            </w:pPr>
            <w:r w:rsidRPr="00A2114C">
              <w:t>6</w:t>
            </w:r>
          </w:p>
        </w:tc>
        <w:tc>
          <w:tcPr>
            <w:tcW w:w="1448" w:type="dxa"/>
            <w:vAlign w:val="center"/>
          </w:tcPr>
          <w:p w14:paraId="64FF500C" w14:textId="77777777" w:rsidR="00670C79" w:rsidRPr="00A2114C" w:rsidRDefault="00670C79" w:rsidP="0064057C">
            <w:pPr>
              <w:spacing w:line="276" w:lineRule="auto"/>
              <w:jc w:val="center"/>
            </w:pPr>
            <w:r w:rsidRPr="00A2114C">
              <w:t>7</w:t>
            </w:r>
          </w:p>
        </w:tc>
      </w:tr>
      <w:tr w:rsidR="002B2AD7" w:rsidRPr="00A2114C" w14:paraId="24F374CE" w14:textId="77777777" w:rsidTr="005A13C5">
        <w:tc>
          <w:tcPr>
            <w:tcW w:w="2694" w:type="dxa"/>
          </w:tcPr>
          <w:p w14:paraId="7075F3AB" w14:textId="3D2A3576" w:rsidR="0025682E" w:rsidRPr="00A2114C" w:rsidRDefault="00CD28D5" w:rsidP="0064057C">
            <w:pPr>
              <w:spacing w:line="276" w:lineRule="auto"/>
              <w:jc w:val="both"/>
              <w:rPr>
                <w:b/>
                <w:bCs/>
              </w:rPr>
            </w:pPr>
            <w:r w:rsidRPr="00A2114C">
              <w:rPr>
                <w:b/>
                <w:bCs/>
              </w:rPr>
              <w:t>4.</w:t>
            </w:r>
            <w:r w:rsidR="00670C79" w:rsidRPr="00A2114C">
              <w:rPr>
                <w:b/>
                <w:bCs/>
              </w:rPr>
              <w:t>1.</w:t>
            </w:r>
            <w:r w:rsidRPr="00A2114C">
              <w:rPr>
                <w:b/>
                <w:bCs/>
              </w:rPr>
              <w:t xml:space="preserve"> </w:t>
            </w:r>
            <w:r w:rsidR="00670C79" w:rsidRPr="00A2114C">
              <w:rPr>
                <w:b/>
                <w:bCs/>
              </w:rPr>
              <w:t>Modificări ale veniturilor bugetare, plus/minus, din care:</w:t>
            </w:r>
          </w:p>
        </w:tc>
        <w:tc>
          <w:tcPr>
            <w:tcW w:w="1058" w:type="dxa"/>
          </w:tcPr>
          <w:p w14:paraId="7811CDB2" w14:textId="77777777" w:rsidR="00670C79" w:rsidRPr="00A2114C" w:rsidRDefault="00670C79" w:rsidP="0064057C">
            <w:pPr>
              <w:pStyle w:val="BodyText2"/>
              <w:spacing w:line="276" w:lineRule="auto"/>
              <w:rPr>
                <w:sz w:val="24"/>
              </w:rPr>
            </w:pPr>
          </w:p>
        </w:tc>
        <w:tc>
          <w:tcPr>
            <w:tcW w:w="1366" w:type="dxa"/>
          </w:tcPr>
          <w:p w14:paraId="5E0D1921" w14:textId="77777777" w:rsidR="00670C79" w:rsidRPr="00A2114C" w:rsidRDefault="00670C79" w:rsidP="0064057C">
            <w:pPr>
              <w:pStyle w:val="BodyText2"/>
              <w:spacing w:line="276" w:lineRule="auto"/>
              <w:rPr>
                <w:sz w:val="24"/>
              </w:rPr>
            </w:pPr>
          </w:p>
        </w:tc>
        <w:tc>
          <w:tcPr>
            <w:tcW w:w="1466" w:type="dxa"/>
          </w:tcPr>
          <w:p w14:paraId="3789DD62" w14:textId="77777777" w:rsidR="00670C79" w:rsidRPr="00A2114C" w:rsidRDefault="00670C79" w:rsidP="0064057C">
            <w:pPr>
              <w:pStyle w:val="BodyText2"/>
              <w:spacing w:line="276" w:lineRule="auto"/>
              <w:rPr>
                <w:sz w:val="24"/>
              </w:rPr>
            </w:pPr>
          </w:p>
        </w:tc>
        <w:tc>
          <w:tcPr>
            <w:tcW w:w="1366" w:type="dxa"/>
          </w:tcPr>
          <w:p w14:paraId="3EFEBCA3" w14:textId="77777777" w:rsidR="00670C79" w:rsidRPr="00A2114C" w:rsidRDefault="00670C79" w:rsidP="0064057C">
            <w:pPr>
              <w:pStyle w:val="BodyText2"/>
              <w:spacing w:line="276" w:lineRule="auto"/>
              <w:rPr>
                <w:sz w:val="24"/>
              </w:rPr>
            </w:pPr>
          </w:p>
        </w:tc>
        <w:tc>
          <w:tcPr>
            <w:tcW w:w="1135" w:type="dxa"/>
          </w:tcPr>
          <w:p w14:paraId="4D97905B" w14:textId="77777777" w:rsidR="00670C79" w:rsidRPr="00A2114C" w:rsidRDefault="00670C79" w:rsidP="0064057C">
            <w:pPr>
              <w:pStyle w:val="BodyText2"/>
              <w:spacing w:line="276" w:lineRule="auto"/>
              <w:rPr>
                <w:sz w:val="24"/>
              </w:rPr>
            </w:pPr>
          </w:p>
        </w:tc>
        <w:tc>
          <w:tcPr>
            <w:tcW w:w="1448" w:type="dxa"/>
          </w:tcPr>
          <w:p w14:paraId="4A89D66A" w14:textId="77777777" w:rsidR="00670C79" w:rsidRPr="00A2114C" w:rsidRDefault="00670C79" w:rsidP="0064057C">
            <w:pPr>
              <w:pStyle w:val="BodyText2"/>
              <w:spacing w:line="276" w:lineRule="auto"/>
              <w:rPr>
                <w:sz w:val="24"/>
              </w:rPr>
            </w:pPr>
          </w:p>
        </w:tc>
      </w:tr>
      <w:tr w:rsidR="002B2AD7" w:rsidRPr="00A2114C" w14:paraId="7E845381" w14:textId="77777777" w:rsidTr="005A13C5">
        <w:tc>
          <w:tcPr>
            <w:tcW w:w="2694" w:type="dxa"/>
          </w:tcPr>
          <w:p w14:paraId="25792053" w14:textId="77777777" w:rsidR="003A367D" w:rsidRPr="00A2114C" w:rsidRDefault="003A367D" w:rsidP="0064057C">
            <w:pPr>
              <w:spacing w:line="276" w:lineRule="auto"/>
              <w:jc w:val="both"/>
            </w:pPr>
            <w:r w:rsidRPr="00A2114C">
              <w:t>a) bugetul de stat, din acesta:</w:t>
            </w:r>
          </w:p>
          <w:p w14:paraId="32D9DBFB" w14:textId="15A036BA" w:rsidR="003A367D" w:rsidRPr="00A2114C" w:rsidRDefault="00CD28D5" w:rsidP="0064057C">
            <w:pPr>
              <w:spacing w:line="276" w:lineRule="auto"/>
              <w:jc w:val="both"/>
            </w:pPr>
            <w:r w:rsidRPr="00A2114C">
              <w:t xml:space="preserve">(i) </w:t>
            </w:r>
            <w:r w:rsidR="003A367D" w:rsidRPr="00A2114C">
              <w:t>impozit pe profit</w:t>
            </w:r>
          </w:p>
          <w:p w14:paraId="67C4E169" w14:textId="0BD99910" w:rsidR="003A367D" w:rsidRPr="00A2114C" w:rsidRDefault="00CD28D5" w:rsidP="0064057C">
            <w:pPr>
              <w:spacing w:line="276" w:lineRule="auto"/>
              <w:jc w:val="both"/>
            </w:pPr>
            <w:r w:rsidRPr="00A2114C">
              <w:t xml:space="preserve">(ii) </w:t>
            </w:r>
            <w:r w:rsidR="003A367D" w:rsidRPr="00A2114C">
              <w:t>impozit pe venit</w:t>
            </w:r>
          </w:p>
        </w:tc>
        <w:tc>
          <w:tcPr>
            <w:tcW w:w="1058" w:type="dxa"/>
          </w:tcPr>
          <w:p w14:paraId="07086A97" w14:textId="77777777" w:rsidR="003A367D" w:rsidRPr="00A2114C" w:rsidRDefault="003A367D" w:rsidP="0064057C">
            <w:pPr>
              <w:pStyle w:val="BodyText2"/>
              <w:spacing w:line="276" w:lineRule="auto"/>
              <w:rPr>
                <w:sz w:val="24"/>
              </w:rPr>
            </w:pPr>
          </w:p>
        </w:tc>
        <w:tc>
          <w:tcPr>
            <w:tcW w:w="1366" w:type="dxa"/>
          </w:tcPr>
          <w:p w14:paraId="68EDD67B" w14:textId="77777777" w:rsidR="003A367D" w:rsidRPr="00A2114C" w:rsidRDefault="003A367D" w:rsidP="0064057C">
            <w:pPr>
              <w:pStyle w:val="BodyText2"/>
              <w:spacing w:line="276" w:lineRule="auto"/>
              <w:rPr>
                <w:sz w:val="24"/>
              </w:rPr>
            </w:pPr>
          </w:p>
        </w:tc>
        <w:tc>
          <w:tcPr>
            <w:tcW w:w="1466" w:type="dxa"/>
          </w:tcPr>
          <w:p w14:paraId="074A0C4C" w14:textId="77777777" w:rsidR="003A367D" w:rsidRPr="00A2114C" w:rsidRDefault="003A367D" w:rsidP="0064057C">
            <w:pPr>
              <w:pStyle w:val="BodyText2"/>
              <w:spacing w:line="276" w:lineRule="auto"/>
              <w:rPr>
                <w:sz w:val="24"/>
              </w:rPr>
            </w:pPr>
          </w:p>
        </w:tc>
        <w:tc>
          <w:tcPr>
            <w:tcW w:w="1366" w:type="dxa"/>
          </w:tcPr>
          <w:p w14:paraId="3EC66A65" w14:textId="77777777" w:rsidR="003A367D" w:rsidRPr="00A2114C" w:rsidRDefault="003A367D" w:rsidP="0064057C">
            <w:pPr>
              <w:pStyle w:val="BodyText2"/>
              <w:spacing w:line="276" w:lineRule="auto"/>
              <w:rPr>
                <w:sz w:val="24"/>
              </w:rPr>
            </w:pPr>
          </w:p>
        </w:tc>
        <w:tc>
          <w:tcPr>
            <w:tcW w:w="1135" w:type="dxa"/>
          </w:tcPr>
          <w:p w14:paraId="5CEC73AA" w14:textId="77777777" w:rsidR="003A367D" w:rsidRPr="00A2114C" w:rsidRDefault="003A367D" w:rsidP="0064057C">
            <w:pPr>
              <w:pStyle w:val="BodyText2"/>
              <w:spacing w:line="276" w:lineRule="auto"/>
              <w:rPr>
                <w:sz w:val="24"/>
              </w:rPr>
            </w:pPr>
          </w:p>
        </w:tc>
        <w:tc>
          <w:tcPr>
            <w:tcW w:w="1448" w:type="dxa"/>
          </w:tcPr>
          <w:p w14:paraId="761E2BD4" w14:textId="77777777" w:rsidR="003A367D" w:rsidRPr="00A2114C" w:rsidRDefault="003A367D" w:rsidP="0064057C">
            <w:pPr>
              <w:pStyle w:val="BodyText2"/>
              <w:spacing w:line="276" w:lineRule="auto"/>
              <w:rPr>
                <w:sz w:val="24"/>
              </w:rPr>
            </w:pPr>
          </w:p>
        </w:tc>
      </w:tr>
      <w:tr w:rsidR="002B2AD7" w:rsidRPr="00A2114C" w14:paraId="6771B99C" w14:textId="77777777" w:rsidTr="005A13C5">
        <w:tc>
          <w:tcPr>
            <w:tcW w:w="2694" w:type="dxa"/>
          </w:tcPr>
          <w:p w14:paraId="6A8A0E7F" w14:textId="577483D3" w:rsidR="003A367D" w:rsidRPr="00A2114C" w:rsidRDefault="003A367D" w:rsidP="0064057C">
            <w:pPr>
              <w:spacing w:line="276" w:lineRule="auto"/>
              <w:jc w:val="both"/>
            </w:pPr>
            <w:r w:rsidRPr="00A2114C">
              <w:t>b) bugete locale:</w:t>
            </w:r>
          </w:p>
          <w:p w14:paraId="3B0FCECB" w14:textId="7AB36B1B" w:rsidR="003A367D" w:rsidRPr="00A2114C" w:rsidRDefault="00CD28D5" w:rsidP="0064057C">
            <w:pPr>
              <w:spacing w:line="276" w:lineRule="auto"/>
              <w:jc w:val="both"/>
            </w:pPr>
            <w:r w:rsidRPr="00A2114C">
              <w:t xml:space="preserve">(i) </w:t>
            </w:r>
            <w:r w:rsidR="003A367D" w:rsidRPr="00A2114C">
              <w:t>impozit pe profit</w:t>
            </w:r>
          </w:p>
        </w:tc>
        <w:tc>
          <w:tcPr>
            <w:tcW w:w="1058" w:type="dxa"/>
          </w:tcPr>
          <w:p w14:paraId="687D0BEC" w14:textId="77777777" w:rsidR="003A367D" w:rsidRPr="00A2114C" w:rsidRDefault="003A367D" w:rsidP="0064057C">
            <w:pPr>
              <w:pStyle w:val="BodyText2"/>
              <w:spacing w:line="276" w:lineRule="auto"/>
              <w:rPr>
                <w:sz w:val="24"/>
              </w:rPr>
            </w:pPr>
          </w:p>
        </w:tc>
        <w:tc>
          <w:tcPr>
            <w:tcW w:w="1366" w:type="dxa"/>
          </w:tcPr>
          <w:p w14:paraId="203F5632" w14:textId="77777777" w:rsidR="003A367D" w:rsidRPr="00A2114C" w:rsidRDefault="003A367D" w:rsidP="0064057C">
            <w:pPr>
              <w:pStyle w:val="BodyText2"/>
              <w:spacing w:line="276" w:lineRule="auto"/>
              <w:rPr>
                <w:sz w:val="24"/>
              </w:rPr>
            </w:pPr>
          </w:p>
        </w:tc>
        <w:tc>
          <w:tcPr>
            <w:tcW w:w="1466" w:type="dxa"/>
          </w:tcPr>
          <w:p w14:paraId="38DA8080" w14:textId="77777777" w:rsidR="003A367D" w:rsidRPr="00A2114C" w:rsidRDefault="003A367D" w:rsidP="0064057C">
            <w:pPr>
              <w:pStyle w:val="BodyText2"/>
              <w:spacing w:line="276" w:lineRule="auto"/>
              <w:rPr>
                <w:sz w:val="24"/>
              </w:rPr>
            </w:pPr>
          </w:p>
        </w:tc>
        <w:tc>
          <w:tcPr>
            <w:tcW w:w="1366" w:type="dxa"/>
          </w:tcPr>
          <w:p w14:paraId="31807B27" w14:textId="77777777" w:rsidR="003A367D" w:rsidRPr="00A2114C" w:rsidRDefault="003A367D" w:rsidP="0064057C">
            <w:pPr>
              <w:pStyle w:val="BodyText2"/>
              <w:spacing w:line="276" w:lineRule="auto"/>
              <w:rPr>
                <w:sz w:val="24"/>
              </w:rPr>
            </w:pPr>
          </w:p>
        </w:tc>
        <w:tc>
          <w:tcPr>
            <w:tcW w:w="1135" w:type="dxa"/>
          </w:tcPr>
          <w:p w14:paraId="29015A0A" w14:textId="77777777" w:rsidR="003A367D" w:rsidRPr="00A2114C" w:rsidRDefault="003A367D" w:rsidP="0064057C">
            <w:pPr>
              <w:pStyle w:val="BodyText2"/>
              <w:spacing w:line="276" w:lineRule="auto"/>
              <w:rPr>
                <w:sz w:val="24"/>
              </w:rPr>
            </w:pPr>
          </w:p>
        </w:tc>
        <w:tc>
          <w:tcPr>
            <w:tcW w:w="1448" w:type="dxa"/>
          </w:tcPr>
          <w:p w14:paraId="33E8076D" w14:textId="77777777" w:rsidR="003A367D" w:rsidRPr="00A2114C" w:rsidRDefault="003A367D" w:rsidP="0064057C">
            <w:pPr>
              <w:pStyle w:val="BodyText2"/>
              <w:spacing w:line="276" w:lineRule="auto"/>
              <w:rPr>
                <w:sz w:val="24"/>
              </w:rPr>
            </w:pPr>
          </w:p>
        </w:tc>
      </w:tr>
      <w:tr w:rsidR="002B2AD7" w:rsidRPr="00A2114C" w14:paraId="3ECF4DE7" w14:textId="77777777" w:rsidTr="005A13C5">
        <w:tc>
          <w:tcPr>
            <w:tcW w:w="2694" w:type="dxa"/>
          </w:tcPr>
          <w:p w14:paraId="454D76E8" w14:textId="401F8F98" w:rsidR="003A367D" w:rsidRPr="00A2114C" w:rsidRDefault="003A367D" w:rsidP="0064057C">
            <w:pPr>
              <w:spacing w:line="276" w:lineRule="auto"/>
              <w:jc w:val="both"/>
            </w:pPr>
            <w:r w:rsidRPr="00A2114C">
              <w:t>c) bugetul asigurărilor sociale</w:t>
            </w:r>
            <w:r w:rsidR="00CD13F8" w:rsidRPr="00A2114C">
              <w:t xml:space="preserve"> de stat</w:t>
            </w:r>
          </w:p>
          <w:p w14:paraId="551EFD10" w14:textId="6A1DCE03" w:rsidR="003A367D" w:rsidRPr="00A2114C" w:rsidRDefault="00CD28D5" w:rsidP="0064057C">
            <w:pPr>
              <w:spacing w:line="276" w:lineRule="auto"/>
              <w:jc w:val="both"/>
            </w:pPr>
            <w:r w:rsidRPr="00A2114C">
              <w:t xml:space="preserve">(i) </w:t>
            </w:r>
            <w:r w:rsidR="003A367D" w:rsidRPr="00A2114C">
              <w:t>contribuţii de asigurări</w:t>
            </w:r>
          </w:p>
        </w:tc>
        <w:tc>
          <w:tcPr>
            <w:tcW w:w="1058" w:type="dxa"/>
          </w:tcPr>
          <w:p w14:paraId="20DF36E4" w14:textId="77777777" w:rsidR="003A367D" w:rsidRPr="00A2114C" w:rsidRDefault="003A367D" w:rsidP="0064057C">
            <w:pPr>
              <w:pStyle w:val="BodyText2"/>
              <w:spacing w:line="276" w:lineRule="auto"/>
              <w:rPr>
                <w:sz w:val="24"/>
              </w:rPr>
            </w:pPr>
          </w:p>
        </w:tc>
        <w:tc>
          <w:tcPr>
            <w:tcW w:w="1366" w:type="dxa"/>
          </w:tcPr>
          <w:p w14:paraId="2E4987C5" w14:textId="77777777" w:rsidR="003A367D" w:rsidRPr="00A2114C" w:rsidRDefault="003A367D" w:rsidP="0064057C">
            <w:pPr>
              <w:pStyle w:val="BodyText2"/>
              <w:spacing w:line="276" w:lineRule="auto"/>
              <w:rPr>
                <w:sz w:val="24"/>
              </w:rPr>
            </w:pPr>
          </w:p>
        </w:tc>
        <w:tc>
          <w:tcPr>
            <w:tcW w:w="1466" w:type="dxa"/>
          </w:tcPr>
          <w:p w14:paraId="55EA5A38" w14:textId="77777777" w:rsidR="003A367D" w:rsidRPr="00A2114C" w:rsidRDefault="003A367D" w:rsidP="0064057C">
            <w:pPr>
              <w:pStyle w:val="BodyText2"/>
              <w:spacing w:line="276" w:lineRule="auto"/>
              <w:rPr>
                <w:sz w:val="24"/>
              </w:rPr>
            </w:pPr>
          </w:p>
        </w:tc>
        <w:tc>
          <w:tcPr>
            <w:tcW w:w="1366" w:type="dxa"/>
          </w:tcPr>
          <w:p w14:paraId="1A940564" w14:textId="77777777" w:rsidR="003A367D" w:rsidRPr="00A2114C" w:rsidRDefault="003A367D" w:rsidP="0064057C">
            <w:pPr>
              <w:pStyle w:val="BodyText2"/>
              <w:spacing w:line="276" w:lineRule="auto"/>
              <w:rPr>
                <w:sz w:val="24"/>
              </w:rPr>
            </w:pPr>
          </w:p>
        </w:tc>
        <w:tc>
          <w:tcPr>
            <w:tcW w:w="1135" w:type="dxa"/>
          </w:tcPr>
          <w:p w14:paraId="3B9F8826" w14:textId="77777777" w:rsidR="003A367D" w:rsidRPr="00A2114C" w:rsidRDefault="003A367D" w:rsidP="0064057C">
            <w:pPr>
              <w:pStyle w:val="BodyText2"/>
              <w:spacing w:line="276" w:lineRule="auto"/>
              <w:rPr>
                <w:sz w:val="24"/>
              </w:rPr>
            </w:pPr>
          </w:p>
        </w:tc>
        <w:tc>
          <w:tcPr>
            <w:tcW w:w="1448" w:type="dxa"/>
          </w:tcPr>
          <w:p w14:paraId="7236E3D5" w14:textId="77777777" w:rsidR="003A367D" w:rsidRPr="00A2114C" w:rsidRDefault="003A367D" w:rsidP="0064057C">
            <w:pPr>
              <w:pStyle w:val="BodyText2"/>
              <w:spacing w:line="276" w:lineRule="auto"/>
              <w:rPr>
                <w:sz w:val="24"/>
              </w:rPr>
            </w:pPr>
          </w:p>
        </w:tc>
      </w:tr>
      <w:tr w:rsidR="002B2AD7" w:rsidRPr="00A2114C" w14:paraId="3B61ACE7" w14:textId="77777777" w:rsidTr="005A13C5">
        <w:tc>
          <w:tcPr>
            <w:tcW w:w="2694" w:type="dxa"/>
          </w:tcPr>
          <w:p w14:paraId="62FD1E56" w14:textId="77777777" w:rsidR="003A367D" w:rsidRPr="00A2114C" w:rsidRDefault="003A367D" w:rsidP="0064057C">
            <w:pPr>
              <w:spacing w:line="276" w:lineRule="auto"/>
              <w:jc w:val="both"/>
            </w:pPr>
            <w:r w:rsidRPr="00A2114C">
              <w:t xml:space="preserve">d) </w:t>
            </w:r>
            <w:r w:rsidR="00A20D72" w:rsidRPr="00A2114C">
              <w:t>alte tipuri de venituri</w:t>
            </w:r>
          </w:p>
          <w:p w14:paraId="5EB8BD87" w14:textId="4527B335" w:rsidR="00A20D72" w:rsidRPr="00A2114C" w:rsidRDefault="00A20D72" w:rsidP="0064057C">
            <w:pPr>
              <w:spacing w:line="276" w:lineRule="auto"/>
              <w:jc w:val="both"/>
            </w:pPr>
            <w:r w:rsidRPr="00A2114C">
              <w:t>(</w:t>
            </w:r>
            <w:r w:rsidR="00EF284D" w:rsidRPr="00A2114C">
              <w:t>S</w:t>
            </w:r>
            <w:r w:rsidRPr="00A2114C">
              <w:t>e va menționa natura acestora</w:t>
            </w:r>
            <w:r w:rsidR="00A82648" w:rsidRPr="00A2114C">
              <w:t>.</w:t>
            </w:r>
            <w:r w:rsidRPr="00A2114C">
              <w:t xml:space="preserve">) </w:t>
            </w:r>
          </w:p>
        </w:tc>
        <w:tc>
          <w:tcPr>
            <w:tcW w:w="1058" w:type="dxa"/>
          </w:tcPr>
          <w:p w14:paraId="704BCA51" w14:textId="77777777" w:rsidR="003A367D" w:rsidRPr="00A2114C" w:rsidRDefault="003A367D" w:rsidP="0064057C">
            <w:pPr>
              <w:pStyle w:val="BodyText2"/>
              <w:spacing w:line="276" w:lineRule="auto"/>
              <w:rPr>
                <w:sz w:val="24"/>
              </w:rPr>
            </w:pPr>
          </w:p>
        </w:tc>
        <w:tc>
          <w:tcPr>
            <w:tcW w:w="1366" w:type="dxa"/>
          </w:tcPr>
          <w:p w14:paraId="269D834F" w14:textId="77777777" w:rsidR="003A367D" w:rsidRPr="00A2114C" w:rsidRDefault="003A367D" w:rsidP="0064057C">
            <w:pPr>
              <w:pStyle w:val="BodyText2"/>
              <w:spacing w:line="276" w:lineRule="auto"/>
              <w:rPr>
                <w:sz w:val="24"/>
              </w:rPr>
            </w:pPr>
          </w:p>
        </w:tc>
        <w:tc>
          <w:tcPr>
            <w:tcW w:w="1466" w:type="dxa"/>
          </w:tcPr>
          <w:p w14:paraId="03C3272C" w14:textId="77777777" w:rsidR="003A367D" w:rsidRPr="00A2114C" w:rsidRDefault="003A367D" w:rsidP="0064057C">
            <w:pPr>
              <w:pStyle w:val="BodyText2"/>
              <w:spacing w:line="276" w:lineRule="auto"/>
              <w:rPr>
                <w:sz w:val="24"/>
              </w:rPr>
            </w:pPr>
          </w:p>
        </w:tc>
        <w:tc>
          <w:tcPr>
            <w:tcW w:w="1366" w:type="dxa"/>
          </w:tcPr>
          <w:p w14:paraId="70C282AC" w14:textId="77777777" w:rsidR="003A367D" w:rsidRPr="00A2114C" w:rsidRDefault="003A367D" w:rsidP="0064057C">
            <w:pPr>
              <w:pStyle w:val="BodyText2"/>
              <w:spacing w:line="276" w:lineRule="auto"/>
              <w:rPr>
                <w:sz w:val="24"/>
              </w:rPr>
            </w:pPr>
          </w:p>
        </w:tc>
        <w:tc>
          <w:tcPr>
            <w:tcW w:w="1135" w:type="dxa"/>
          </w:tcPr>
          <w:p w14:paraId="711BE975" w14:textId="77777777" w:rsidR="003A367D" w:rsidRPr="00A2114C" w:rsidRDefault="003A367D" w:rsidP="0064057C">
            <w:pPr>
              <w:pStyle w:val="BodyText2"/>
              <w:spacing w:line="276" w:lineRule="auto"/>
              <w:rPr>
                <w:sz w:val="24"/>
              </w:rPr>
            </w:pPr>
          </w:p>
        </w:tc>
        <w:tc>
          <w:tcPr>
            <w:tcW w:w="1448" w:type="dxa"/>
          </w:tcPr>
          <w:p w14:paraId="56D819C6" w14:textId="77777777" w:rsidR="003A367D" w:rsidRPr="00A2114C" w:rsidRDefault="003A367D" w:rsidP="0064057C">
            <w:pPr>
              <w:pStyle w:val="BodyText2"/>
              <w:spacing w:line="276" w:lineRule="auto"/>
              <w:rPr>
                <w:sz w:val="24"/>
              </w:rPr>
            </w:pPr>
          </w:p>
        </w:tc>
      </w:tr>
      <w:tr w:rsidR="002B2AD7" w:rsidRPr="00A2114C" w14:paraId="126F1061" w14:textId="77777777" w:rsidTr="005A13C5">
        <w:tc>
          <w:tcPr>
            <w:tcW w:w="2694" w:type="dxa"/>
          </w:tcPr>
          <w:p w14:paraId="1415B230" w14:textId="72A3E85F" w:rsidR="0025682E" w:rsidRPr="00A2114C" w:rsidRDefault="00CD28D5" w:rsidP="0064057C">
            <w:pPr>
              <w:spacing w:line="276" w:lineRule="auto"/>
              <w:jc w:val="both"/>
              <w:rPr>
                <w:b/>
                <w:bCs/>
              </w:rPr>
            </w:pPr>
            <w:r w:rsidRPr="00A2114C">
              <w:rPr>
                <w:b/>
                <w:bCs/>
              </w:rPr>
              <w:t>4.</w:t>
            </w:r>
            <w:r w:rsidR="00ED5D29" w:rsidRPr="00A2114C">
              <w:rPr>
                <w:b/>
                <w:bCs/>
              </w:rPr>
              <w:t>2.</w:t>
            </w:r>
            <w:r w:rsidRPr="00A2114C">
              <w:rPr>
                <w:b/>
                <w:bCs/>
              </w:rPr>
              <w:t xml:space="preserve"> </w:t>
            </w:r>
            <w:r w:rsidR="00ED5D29" w:rsidRPr="00A2114C">
              <w:rPr>
                <w:b/>
                <w:bCs/>
              </w:rPr>
              <w:t>Modificări ale cheltuielilor bugetare</w:t>
            </w:r>
            <w:r w:rsidR="00A82648" w:rsidRPr="00A2114C">
              <w:rPr>
                <w:b/>
                <w:bCs/>
              </w:rPr>
              <w:t>, plus/minus,</w:t>
            </w:r>
            <w:r w:rsidR="00ED5D29" w:rsidRPr="00A2114C">
              <w:rPr>
                <w:b/>
                <w:bCs/>
              </w:rPr>
              <w:t xml:space="preserve"> din care:</w:t>
            </w:r>
          </w:p>
        </w:tc>
        <w:tc>
          <w:tcPr>
            <w:tcW w:w="1058" w:type="dxa"/>
          </w:tcPr>
          <w:p w14:paraId="7BB1C451" w14:textId="3A3864A6" w:rsidR="00E62BA0" w:rsidRPr="00A2114C" w:rsidRDefault="00E62BA0" w:rsidP="0064057C">
            <w:pPr>
              <w:spacing w:line="276" w:lineRule="auto"/>
              <w:jc w:val="center"/>
            </w:pPr>
          </w:p>
        </w:tc>
        <w:tc>
          <w:tcPr>
            <w:tcW w:w="1366" w:type="dxa"/>
          </w:tcPr>
          <w:p w14:paraId="44C5A3FF" w14:textId="75FE5CBB" w:rsidR="00E62BA0" w:rsidRPr="00A2114C" w:rsidRDefault="00E62BA0" w:rsidP="0064057C">
            <w:pPr>
              <w:spacing w:line="276" w:lineRule="auto"/>
              <w:jc w:val="center"/>
            </w:pPr>
          </w:p>
        </w:tc>
        <w:tc>
          <w:tcPr>
            <w:tcW w:w="1466" w:type="dxa"/>
          </w:tcPr>
          <w:p w14:paraId="1702DFD2" w14:textId="6D9B32F2" w:rsidR="00E62BA0" w:rsidRPr="00A2114C" w:rsidRDefault="00E62BA0" w:rsidP="0064057C">
            <w:pPr>
              <w:spacing w:line="276" w:lineRule="auto"/>
              <w:jc w:val="center"/>
            </w:pPr>
          </w:p>
        </w:tc>
        <w:tc>
          <w:tcPr>
            <w:tcW w:w="1366" w:type="dxa"/>
          </w:tcPr>
          <w:p w14:paraId="1D7B38D6" w14:textId="659DB0F9" w:rsidR="00E62BA0" w:rsidRPr="00A2114C" w:rsidRDefault="00E62BA0" w:rsidP="0064057C">
            <w:pPr>
              <w:spacing w:line="276" w:lineRule="auto"/>
              <w:jc w:val="center"/>
            </w:pPr>
          </w:p>
        </w:tc>
        <w:tc>
          <w:tcPr>
            <w:tcW w:w="1135" w:type="dxa"/>
          </w:tcPr>
          <w:p w14:paraId="09F7CD9E" w14:textId="2AFA766B" w:rsidR="00E62BA0" w:rsidRPr="00A2114C" w:rsidRDefault="00E62BA0" w:rsidP="0064057C">
            <w:pPr>
              <w:spacing w:line="276" w:lineRule="auto"/>
              <w:jc w:val="center"/>
            </w:pPr>
          </w:p>
        </w:tc>
        <w:tc>
          <w:tcPr>
            <w:tcW w:w="1448" w:type="dxa"/>
          </w:tcPr>
          <w:p w14:paraId="16493B27" w14:textId="191A8F5C" w:rsidR="00E62BA0" w:rsidRPr="00A2114C" w:rsidRDefault="00E62BA0" w:rsidP="0064057C">
            <w:pPr>
              <w:spacing w:line="276" w:lineRule="auto"/>
              <w:jc w:val="center"/>
            </w:pPr>
          </w:p>
        </w:tc>
      </w:tr>
      <w:tr w:rsidR="002B2AD7" w:rsidRPr="00A2114C" w14:paraId="408E6817" w14:textId="77777777" w:rsidTr="005A13C5">
        <w:tc>
          <w:tcPr>
            <w:tcW w:w="2694" w:type="dxa"/>
          </w:tcPr>
          <w:p w14:paraId="2D265B20" w14:textId="19563007" w:rsidR="00CD28D5" w:rsidRPr="00A2114C" w:rsidRDefault="00CD28D5" w:rsidP="0064057C">
            <w:pPr>
              <w:spacing w:line="276" w:lineRule="auto"/>
              <w:jc w:val="both"/>
            </w:pPr>
            <w:r w:rsidRPr="00A2114C">
              <w:t>a) buget de stat, din acesta:</w:t>
            </w:r>
          </w:p>
          <w:p w14:paraId="3382ADB9" w14:textId="31517959" w:rsidR="00CD28D5" w:rsidRPr="00A2114C" w:rsidRDefault="00CD28D5" w:rsidP="0064057C">
            <w:pPr>
              <w:spacing w:line="276" w:lineRule="auto"/>
              <w:jc w:val="both"/>
            </w:pPr>
            <w:r w:rsidRPr="00A2114C">
              <w:t>(i) cheltuieli de personal</w:t>
            </w:r>
          </w:p>
          <w:p w14:paraId="2AF2C20C" w14:textId="24F90ED4" w:rsidR="00CD28D5" w:rsidRPr="00A2114C" w:rsidRDefault="00CD28D5" w:rsidP="0064057C">
            <w:pPr>
              <w:spacing w:line="276" w:lineRule="auto"/>
              <w:jc w:val="both"/>
            </w:pPr>
            <w:r w:rsidRPr="00A2114C">
              <w:t>(ii) bunuri şi servicii</w:t>
            </w:r>
          </w:p>
        </w:tc>
        <w:tc>
          <w:tcPr>
            <w:tcW w:w="1058" w:type="dxa"/>
          </w:tcPr>
          <w:p w14:paraId="3E0B1602" w14:textId="77777777" w:rsidR="00CD28D5" w:rsidRPr="00A2114C" w:rsidRDefault="00CD28D5" w:rsidP="0064057C">
            <w:pPr>
              <w:spacing w:line="276" w:lineRule="auto"/>
              <w:jc w:val="center"/>
            </w:pPr>
          </w:p>
        </w:tc>
        <w:tc>
          <w:tcPr>
            <w:tcW w:w="1366" w:type="dxa"/>
          </w:tcPr>
          <w:p w14:paraId="4A5827CA" w14:textId="77777777" w:rsidR="00CD28D5" w:rsidRPr="00A2114C" w:rsidRDefault="00CD28D5" w:rsidP="0064057C">
            <w:pPr>
              <w:spacing w:line="276" w:lineRule="auto"/>
              <w:jc w:val="center"/>
            </w:pPr>
          </w:p>
        </w:tc>
        <w:tc>
          <w:tcPr>
            <w:tcW w:w="1466" w:type="dxa"/>
          </w:tcPr>
          <w:p w14:paraId="32FB3ACA" w14:textId="77777777" w:rsidR="00CD28D5" w:rsidRPr="00A2114C" w:rsidRDefault="00CD28D5" w:rsidP="0064057C">
            <w:pPr>
              <w:spacing w:line="276" w:lineRule="auto"/>
              <w:jc w:val="center"/>
            </w:pPr>
          </w:p>
        </w:tc>
        <w:tc>
          <w:tcPr>
            <w:tcW w:w="1366" w:type="dxa"/>
          </w:tcPr>
          <w:p w14:paraId="6B0B1905" w14:textId="77777777" w:rsidR="00CD28D5" w:rsidRPr="00A2114C" w:rsidRDefault="00CD28D5" w:rsidP="0064057C">
            <w:pPr>
              <w:spacing w:line="276" w:lineRule="auto"/>
              <w:jc w:val="center"/>
            </w:pPr>
          </w:p>
        </w:tc>
        <w:tc>
          <w:tcPr>
            <w:tcW w:w="1135" w:type="dxa"/>
          </w:tcPr>
          <w:p w14:paraId="23CBB327" w14:textId="77777777" w:rsidR="00CD28D5" w:rsidRPr="00A2114C" w:rsidRDefault="00CD28D5" w:rsidP="0064057C">
            <w:pPr>
              <w:spacing w:line="276" w:lineRule="auto"/>
              <w:jc w:val="center"/>
            </w:pPr>
          </w:p>
        </w:tc>
        <w:tc>
          <w:tcPr>
            <w:tcW w:w="1448" w:type="dxa"/>
          </w:tcPr>
          <w:p w14:paraId="58A4AD04" w14:textId="77777777" w:rsidR="00CD28D5" w:rsidRPr="00A2114C" w:rsidRDefault="00CD28D5" w:rsidP="0064057C">
            <w:pPr>
              <w:spacing w:line="276" w:lineRule="auto"/>
              <w:jc w:val="center"/>
            </w:pPr>
          </w:p>
        </w:tc>
      </w:tr>
      <w:tr w:rsidR="002B2AD7" w:rsidRPr="00A2114C" w14:paraId="247EA305" w14:textId="77777777" w:rsidTr="005A13C5">
        <w:tc>
          <w:tcPr>
            <w:tcW w:w="2694" w:type="dxa"/>
          </w:tcPr>
          <w:p w14:paraId="1413F8FD" w14:textId="15D4A2BF" w:rsidR="00CD28D5" w:rsidRPr="00A2114C" w:rsidRDefault="00CD28D5" w:rsidP="0064057C">
            <w:pPr>
              <w:spacing w:line="276" w:lineRule="auto"/>
              <w:jc w:val="both"/>
            </w:pPr>
            <w:r w:rsidRPr="00A2114C">
              <w:t>b)</w:t>
            </w:r>
            <w:r w:rsidR="00CD13F8" w:rsidRPr="00A2114C">
              <w:t xml:space="preserve"> </w:t>
            </w:r>
            <w:r w:rsidRPr="00A2114C">
              <w:t>bugete locale:</w:t>
            </w:r>
          </w:p>
          <w:p w14:paraId="5D43B430" w14:textId="0375DEBE" w:rsidR="00CD28D5" w:rsidRPr="00A2114C" w:rsidRDefault="00CD28D5" w:rsidP="0064057C">
            <w:pPr>
              <w:spacing w:line="276" w:lineRule="auto"/>
              <w:jc w:val="both"/>
            </w:pPr>
            <w:r w:rsidRPr="00A2114C">
              <w:t>(i) cheltuieli de personal</w:t>
            </w:r>
          </w:p>
          <w:p w14:paraId="5FAAC7DC" w14:textId="3646E615" w:rsidR="00CD28D5" w:rsidRPr="00A2114C" w:rsidRDefault="00CD28D5" w:rsidP="0064057C">
            <w:pPr>
              <w:spacing w:line="276" w:lineRule="auto"/>
              <w:jc w:val="both"/>
            </w:pPr>
            <w:r w:rsidRPr="00A2114C">
              <w:t>(ii) bunuri şi servicii</w:t>
            </w:r>
          </w:p>
        </w:tc>
        <w:tc>
          <w:tcPr>
            <w:tcW w:w="1058" w:type="dxa"/>
          </w:tcPr>
          <w:p w14:paraId="35C2339D" w14:textId="77777777" w:rsidR="00CD28D5" w:rsidRPr="00A2114C" w:rsidRDefault="00CD28D5" w:rsidP="0064057C">
            <w:pPr>
              <w:spacing w:line="276" w:lineRule="auto"/>
              <w:jc w:val="center"/>
            </w:pPr>
          </w:p>
        </w:tc>
        <w:tc>
          <w:tcPr>
            <w:tcW w:w="1366" w:type="dxa"/>
          </w:tcPr>
          <w:p w14:paraId="7642EF10" w14:textId="77777777" w:rsidR="00CD28D5" w:rsidRPr="00A2114C" w:rsidRDefault="00CD28D5" w:rsidP="0064057C">
            <w:pPr>
              <w:spacing w:line="276" w:lineRule="auto"/>
              <w:jc w:val="center"/>
            </w:pPr>
          </w:p>
        </w:tc>
        <w:tc>
          <w:tcPr>
            <w:tcW w:w="1466" w:type="dxa"/>
          </w:tcPr>
          <w:p w14:paraId="00DA41A3" w14:textId="77777777" w:rsidR="00CD28D5" w:rsidRPr="00A2114C" w:rsidRDefault="00CD28D5" w:rsidP="0064057C">
            <w:pPr>
              <w:spacing w:line="276" w:lineRule="auto"/>
              <w:jc w:val="center"/>
            </w:pPr>
          </w:p>
        </w:tc>
        <w:tc>
          <w:tcPr>
            <w:tcW w:w="1366" w:type="dxa"/>
          </w:tcPr>
          <w:p w14:paraId="5014B167" w14:textId="77777777" w:rsidR="00CD28D5" w:rsidRPr="00A2114C" w:rsidRDefault="00CD28D5" w:rsidP="0064057C">
            <w:pPr>
              <w:spacing w:line="276" w:lineRule="auto"/>
              <w:jc w:val="center"/>
            </w:pPr>
          </w:p>
        </w:tc>
        <w:tc>
          <w:tcPr>
            <w:tcW w:w="1135" w:type="dxa"/>
          </w:tcPr>
          <w:p w14:paraId="44E6962F" w14:textId="77777777" w:rsidR="00CD28D5" w:rsidRPr="00A2114C" w:rsidRDefault="00CD28D5" w:rsidP="0064057C">
            <w:pPr>
              <w:spacing w:line="276" w:lineRule="auto"/>
              <w:jc w:val="center"/>
            </w:pPr>
          </w:p>
        </w:tc>
        <w:tc>
          <w:tcPr>
            <w:tcW w:w="1448" w:type="dxa"/>
          </w:tcPr>
          <w:p w14:paraId="5D1C5F3E" w14:textId="77777777" w:rsidR="00CD28D5" w:rsidRPr="00A2114C" w:rsidRDefault="00CD28D5" w:rsidP="0064057C">
            <w:pPr>
              <w:spacing w:line="276" w:lineRule="auto"/>
              <w:jc w:val="center"/>
            </w:pPr>
          </w:p>
        </w:tc>
      </w:tr>
      <w:tr w:rsidR="002B2AD7" w:rsidRPr="00A2114C" w14:paraId="64A76806" w14:textId="77777777" w:rsidTr="005A13C5">
        <w:tc>
          <w:tcPr>
            <w:tcW w:w="2694" w:type="dxa"/>
          </w:tcPr>
          <w:p w14:paraId="30172BDF" w14:textId="0D2320D4" w:rsidR="00CD13F8" w:rsidRPr="00A2114C" w:rsidRDefault="00CD13F8" w:rsidP="0064057C">
            <w:pPr>
              <w:spacing w:line="276" w:lineRule="auto"/>
              <w:jc w:val="both"/>
            </w:pPr>
            <w:r w:rsidRPr="00A2114C">
              <w:t>c) bugetul asigurărilor sociale de stat:</w:t>
            </w:r>
          </w:p>
          <w:p w14:paraId="03FADADD" w14:textId="1EB62078" w:rsidR="00CD13F8" w:rsidRPr="00A2114C" w:rsidRDefault="00CD13F8" w:rsidP="0064057C">
            <w:pPr>
              <w:spacing w:line="276" w:lineRule="auto"/>
              <w:jc w:val="both"/>
            </w:pPr>
            <w:r w:rsidRPr="00A2114C">
              <w:t>(i) cheltuieli de personal</w:t>
            </w:r>
          </w:p>
          <w:p w14:paraId="55656529" w14:textId="757B5B4C" w:rsidR="00CD13F8" w:rsidRPr="00A2114C" w:rsidRDefault="00CD13F8" w:rsidP="0064057C">
            <w:pPr>
              <w:spacing w:line="276" w:lineRule="auto"/>
              <w:jc w:val="both"/>
            </w:pPr>
            <w:r w:rsidRPr="00A2114C">
              <w:t>(ii) bunuri şi servicii</w:t>
            </w:r>
          </w:p>
        </w:tc>
        <w:tc>
          <w:tcPr>
            <w:tcW w:w="1058" w:type="dxa"/>
          </w:tcPr>
          <w:p w14:paraId="2DE6BAAD" w14:textId="77777777" w:rsidR="00CD13F8" w:rsidRPr="00A2114C" w:rsidRDefault="00CD13F8" w:rsidP="0064057C">
            <w:pPr>
              <w:spacing w:line="276" w:lineRule="auto"/>
              <w:jc w:val="center"/>
            </w:pPr>
          </w:p>
        </w:tc>
        <w:tc>
          <w:tcPr>
            <w:tcW w:w="1366" w:type="dxa"/>
          </w:tcPr>
          <w:p w14:paraId="07943E17" w14:textId="77777777" w:rsidR="00CD13F8" w:rsidRPr="00A2114C" w:rsidRDefault="00CD13F8" w:rsidP="0064057C">
            <w:pPr>
              <w:spacing w:line="276" w:lineRule="auto"/>
              <w:jc w:val="center"/>
            </w:pPr>
          </w:p>
        </w:tc>
        <w:tc>
          <w:tcPr>
            <w:tcW w:w="1466" w:type="dxa"/>
          </w:tcPr>
          <w:p w14:paraId="5D1EB785" w14:textId="77777777" w:rsidR="00CD13F8" w:rsidRPr="00A2114C" w:rsidRDefault="00CD13F8" w:rsidP="0064057C">
            <w:pPr>
              <w:spacing w:line="276" w:lineRule="auto"/>
              <w:jc w:val="center"/>
            </w:pPr>
          </w:p>
        </w:tc>
        <w:tc>
          <w:tcPr>
            <w:tcW w:w="1366" w:type="dxa"/>
          </w:tcPr>
          <w:p w14:paraId="7E7347DF" w14:textId="77777777" w:rsidR="00CD13F8" w:rsidRPr="00A2114C" w:rsidRDefault="00CD13F8" w:rsidP="0064057C">
            <w:pPr>
              <w:spacing w:line="276" w:lineRule="auto"/>
              <w:jc w:val="center"/>
            </w:pPr>
          </w:p>
        </w:tc>
        <w:tc>
          <w:tcPr>
            <w:tcW w:w="1135" w:type="dxa"/>
          </w:tcPr>
          <w:p w14:paraId="27993F0F" w14:textId="77777777" w:rsidR="00CD13F8" w:rsidRPr="00A2114C" w:rsidRDefault="00CD13F8" w:rsidP="0064057C">
            <w:pPr>
              <w:spacing w:line="276" w:lineRule="auto"/>
              <w:jc w:val="center"/>
            </w:pPr>
          </w:p>
        </w:tc>
        <w:tc>
          <w:tcPr>
            <w:tcW w:w="1448" w:type="dxa"/>
          </w:tcPr>
          <w:p w14:paraId="3D14DE78" w14:textId="77777777" w:rsidR="00CD13F8" w:rsidRPr="00A2114C" w:rsidRDefault="00CD13F8" w:rsidP="0064057C">
            <w:pPr>
              <w:spacing w:line="276" w:lineRule="auto"/>
              <w:jc w:val="center"/>
            </w:pPr>
          </w:p>
        </w:tc>
      </w:tr>
      <w:tr w:rsidR="002B2AD7" w:rsidRPr="00A2114C" w14:paraId="5C3A403A" w14:textId="77777777" w:rsidTr="005A13C5">
        <w:tc>
          <w:tcPr>
            <w:tcW w:w="2694" w:type="dxa"/>
          </w:tcPr>
          <w:p w14:paraId="3BF8A849" w14:textId="176DF995" w:rsidR="00EF284D" w:rsidRPr="00A2114C" w:rsidRDefault="00EF284D" w:rsidP="0064057C">
            <w:pPr>
              <w:spacing w:line="276" w:lineRule="auto"/>
              <w:jc w:val="both"/>
            </w:pPr>
            <w:r w:rsidRPr="00A2114C">
              <w:t xml:space="preserve">d) alte tipuri de </w:t>
            </w:r>
            <w:r w:rsidR="00A82648" w:rsidRPr="00A2114C">
              <w:t>cheltuieli</w:t>
            </w:r>
          </w:p>
          <w:p w14:paraId="359EE9C4" w14:textId="710C86CB" w:rsidR="00EF284D" w:rsidRPr="00A2114C" w:rsidRDefault="00EF284D" w:rsidP="0064057C">
            <w:pPr>
              <w:spacing w:line="276" w:lineRule="auto"/>
              <w:jc w:val="both"/>
            </w:pPr>
            <w:r w:rsidRPr="00A2114C">
              <w:t>(Se va menționa natura acestora</w:t>
            </w:r>
            <w:r w:rsidR="00A82648" w:rsidRPr="00A2114C">
              <w:t>.</w:t>
            </w:r>
            <w:r w:rsidRPr="00A2114C">
              <w:t>)</w:t>
            </w:r>
          </w:p>
        </w:tc>
        <w:tc>
          <w:tcPr>
            <w:tcW w:w="1058" w:type="dxa"/>
          </w:tcPr>
          <w:p w14:paraId="2C7AC338" w14:textId="77777777" w:rsidR="00EF284D" w:rsidRPr="00A2114C" w:rsidRDefault="00EF284D" w:rsidP="0064057C">
            <w:pPr>
              <w:spacing w:line="276" w:lineRule="auto"/>
              <w:jc w:val="center"/>
            </w:pPr>
          </w:p>
        </w:tc>
        <w:tc>
          <w:tcPr>
            <w:tcW w:w="1366" w:type="dxa"/>
          </w:tcPr>
          <w:p w14:paraId="7CA00BF7" w14:textId="77777777" w:rsidR="00EF284D" w:rsidRPr="00A2114C" w:rsidRDefault="00EF284D" w:rsidP="0064057C">
            <w:pPr>
              <w:spacing w:line="276" w:lineRule="auto"/>
              <w:jc w:val="center"/>
            </w:pPr>
          </w:p>
        </w:tc>
        <w:tc>
          <w:tcPr>
            <w:tcW w:w="1466" w:type="dxa"/>
          </w:tcPr>
          <w:p w14:paraId="22F7EDA8" w14:textId="77777777" w:rsidR="00EF284D" w:rsidRPr="00A2114C" w:rsidRDefault="00EF284D" w:rsidP="0064057C">
            <w:pPr>
              <w:spacing w:line="276" w:lineRule="auto"/>
              <w:jc w:val="center"/>
            </w:pPr>
          </w:p>
        </w:tc>
        <w:tc>
          <w:tcPr>
            <w:tcW w:w="1366" w:type="dxa"/>
          </w:tcPr>
          <w:p w14:paraId="1C65014D" w14:textId="77777777" w:rsidR="00EF284D" w:rsidRPr="00A2114C" w:rsidRDefault="00EF284D" w:rsidP="0064057C">
            <w:pPr>
              <w:spacing w:line="276" w:lineRule="auto"/>
              <w:jc w:val="center"/>
            </w:pPr>
          </w:p>
        </w:tc>
        <w:tc>
          <w:tcPr>
            <w:tcW w:w="1135" w:type="dxa"/>
          </w:tcPr>
          <w:p w14:paraId="69EFB472" w14:textId="77777777" w:rsidR="00EF284D" w:rsidRPr="00A2114C" w:rsidRDefault="00EF284D" w:rsidP="0064057C">
            <w:pPr>
              <w:spacing w:line="276" w:lineRule="auto"/>
              <w:jc w:val="center"/>
            </w:pPr>
          </w:p>
        </w:tc>
        <w:tc>
          <w:tcPr>
            <w:tcW w:w="1448" w:type="dxa"/>
          </w:tcPr>
          <w:p w14:paraId="2BEA7293" w14:textId="77777777" w:rsidR="00EF284D" w:rsidRPr="00A2114C" w:rsidRDefault="00EF284D" w:rsidP="0064057C">
            <w:pPr>
              <w:spacing w:line="276" w:lineRule="auto"/>
              <w:jc w:val="center"/>
            </w:pPr>
          </w:p>
        </w:tc>
      </w:tr>
      <w:tr w:rsidR="002B2AD7" w:rsidRPr="00A2114C" w14:paraId="6E9F3798" w14:textId="77777777" w:rsidTr="005A13C5">
        <w:tc>
          <w:tcPr>
            <w:tcW w:w="2694" w:type="dxa"/>
          </w:tcPr>
          <w:p w14:paraId="1C49C2EC" w14:textId="77777777" w:rsidR="00A75729" w:rsidRPr="00A2114C" w:rsidRDefault="00A75729" w:rsidP="0064057C">
            <w:pPr>
              <w:spacing w:line="276" w:lineRule="auto"/>
              <w:jc w:val="both"/>
              <w:rPr>
                <w:b/>
                <w:bCs/>
              </w:rPr>
            </w:pPr>
            <w:r w:rsidRPr="00A2114C">
              <w:rPr>
                <w:b/>
                <w:bCs/>
              </w:rPr>
              <w:t>4.3. Impact financiar, plus/minus, din care:</w:t>
            </w:r>
          </w:p>
          <w:p w14:paraId="656BFCEC" w14:textId="54C7982C" w:rsidR="00A75729" w:rsidRPr="00A2114C" w:rsidRDefault="00A75729" w:rsidP="0064057C">
            <w:pPr>
              <w:spacing w:line="276" w:lineRule="auto"/>
              <w:jc w:val="both"/>
            </w:pPr>
            <w:r w:rsidRPr="00A2114C">
              <w:t>a) buget de stat</w:t>
            </w:r>
          </w:p>
        </w:tc>
        <w:tc>
          <w:tcPr>
            <w:tcW w:w="1058" w:type="dxa"/>
          </w:tcPr>
          <w:p w14:paraId="7AD2D601" w14:textId="77777777" w:rsidR="00A75729" w:rsidRPr="00A2114C" w:rsidRDefault="00A75729" w:rsidP="0064057C">
            <w:pPr>
              <w:spacing w:line="276" w:lineRule="auto"/>
              <w:jc w:val="center"/>
            </w:pPr>
          </w:p>
        </w:tc>
        <w:tc>
          <w:tcPr>
            <w:tcW w:w="1366" w:type="dxa"/>
          </w:tcPr>
          <w:p w14:paraId="0568D044" w14:textId="77777777" w:rsidR="00A75729" w:rsidRPr="00A2114C" w:rsidRDefault="00A75729" w:rsidP="0064057C">
            <w:pPr>
              <w:spacing w:line="276" w:lineRule="auto"/>
              <w:jc w:val="center"/>
            </w:pPr>
          </w:p>
        </w:tc>
        <w:tc>
          <w:tcPr>
            <w:tcW w:w="1466" w:type="dxa"/>
          </w:tcPr>
          <w:p w14:paraId="210A6366" w14:textId="77777777" w:rsidR="00A75729" w:rsidRPr="00A2114C" w:rsidRDefault="00A75729" w:rsidP="0064057C">
            <w:pPr>
              <w:spacing w:line="276" w:lineRule="auto"/>
              <w:jc w:val="center"/>
            </w:pPr>
          </w:p>
        </w:tc>
        <w:tc>
          <w:tcPr>
            <w:tcW w:w="1366" w:type="dxa"/>
          </w:tcPr>
          <w:p w14:paraId="2693F75B" w14:textId="77777777" w:rsidR="00A75729" w:rsidRPr="00A2114C" w:rsidRDefault="00A75729" w:rsidP="0064057C">
            <w:pPr>
              <w:spacing w:line="276" w:lineRule="auto"/>
              <w:jc w:val="center"/>
            </w:pPr>
          </w:p>
        </w:tc>
        <w:tc>
          <w:tcPr>
            <w:tcW w:w="1135" w:type="dxa"/>
          </w:tcPr>
          <w:p w14:paraId="1585137C" w14:textId="77777777" w:rsidR="00A75729" w:rsidRPr="00A2114C" w:rsidRDefault="00A75729" w:rsidP="0064057C">
            <w:pPr>
              <w:spacing w:line="276" w:lineRule="auto"/>
              <w:jc w:val="center"/>
            </w:pPr>
          </w:p>
        </w:tc>
        <w:tc>
          <w:tcPr>
            <w:tcW w:w="1448" w:type="dxa"/>
          </w:tcPr>
          <w:p w14:paraId="2D494315" w14:textId="77777777" w:rsidR="00A75729" w:rsidRPr="00A2114C" w:rsidRDefault="00A75729" w:rsidP="0064057C">
            <w:pPr>
              <w:spacing w:line="276" w:lineRule="auto"/>
              <w:jc w:val="center"/>
            </w:pPr>
          </w:p>
        </w:tc>
      </w:tr>
      <w:tr w:rsidR="002B2AD7" w:rsidRPr="00A2114C" w14:paraId="3177FEF7" w14:textId="77777777" w:rsidTr="005A13C5">
        <w:tc>
          <w:tcPr>
            <w:tcW w:w="2694" w:type="dxa"/>
          </w:tcPr>
          <w:p w14:paraId="33908C4A" w14:textId="118E34DE" w:rsidR="00A75729" w:rsidRPr="00A2114C" w:rsidRDefault="00A75729" w:rsidP="0064057C">
            <w:pPr>
              <w:spacing w:line="276" w:lineRule="auto"/>
              <w:jc w:val="both"/>
            </w:pPr>
            <w:r w:rsidRPr="00A2114C">
              <w:t>b) bugete locale</w:t>
            </w:r>
          </w:p>
        </w:tc>
        <w:tc>
          <w:tcPr>
            <w:tcW w:w="1058" w:type="dxa"/>
          </w:tcPr>
          <w:p w14:paraId="4B62CC0C" w14:textId="77777777" w:rsidR="00A75729" w:rsidRPr="00A2114C" w:rsidRDefault="00A75729" w:rsidP="0064057C">
            <w:pPr>
              <w:spacing w:line="276" w:lineRule="auto"/>
              <w:jc w:val="center"/>
            </w:pPr>
          </w:p>
        </w:tc>
        <w:tc>
          <w:tcPr>
            <w:tcW w:w="1366" w:type="dxa"/>
          </w:tcPr>
          <w:p w14:paraId="283AC80B" w14:textId="77777777" w:rsidR="00A75729" w:rsidRPr="00A2114C" w:rsidRDefault="00A75729" w:rsidP="0064057C">
            <w:pPr>
              <w:spacing w:line="276" w:lineRule="auto"/>
              <w:jc w:val="center"/>
            </w:pPr>
          </w:p>
        </w:tc>
        <w:tc>
          <w:tcPr>
            <w:tcW w:w="1466" w:type="dxa"/>
          </w:tcPr>
          <w:p w14:paraId="7219261C" w14:textId="77777777" w:rsidR="00A75729" w:rsidRPr="00A2114C" w:rsidRDefault="00A75729" w:rsidP="0064057C">
            <w:pPr>
              <w:spacing w:line="276" w:lineRule="auto"/>
              <w:jc w:val="center"/>
            </w:pPr>
          </w:p>
        </w:tc>
        <w:tc>
          <w:tcPr>
            <w:tcW w:w="1366" w:type="dxa"/>
          </w:tcPr>
          <w:p w14:paraId="49D7F163" w14:textId="77777777" w:rsidR="00A75729" w:rsidRPr="00A2114C" w:rsidRDefault="00A75729" w:rsidP="0064057C">
            <w:pPr>
              <w:spacing w:line="276" w:lineRule="auto"/>
              <w:jc w:val="center"/>
            </w:pPr>
          </w:p>
        </w:tc>
        <w:tc>
          <w:tcPr>
            <w:tcW w:w="1135" w:type="dxa"/>
          </w:tcPr>
          <w:p w14:paraId="7C544E7C" w14:textId="77777777" w:rsidR="00A75729" w:rsidRPr="00A2114C" w:rsidRDefault="00A75729" w:rsidP="0064057C">
            <w:pPr>
              <w:spacing w:line="276" w:lineRule="auto"/>
              <w:jc w:val="center"/>
            </w:pPr>
          </w:p>
        </w:tc>
        <w:tc>
          <w:tcPr>
            <w:tcW w:w="1448" w:type="dxa"/>
          </w:tcPr>
          <w:p w14:paraId="4953DDFD" w14:textId="77777777" w:rsidR="00A75729" w:rsidRPr="00A2114C" w:rsidRDefault="00A75729" w:rsidP="0064057C">
            <w:pPr>
              <w:spacing w:line="276" w:lineRule="auto"/>
              <w:jc w:val="center"/>
            </w:pPr>
          </w:p>
        </w:tc>
      </w:tr>
      <w:tr w:rsidR="002B2AD7" w:rsidRPr="00A2114C" w14:paraId="4B985901" w14:textId="77777777" w:rsidTr="005A13C5">
        <w:tc>
          <w:tcPr>
            <w:tcW w:w="2694" w:type="dxa"/>
          </w:tcPr>
          <w:p w14:paraId="41F94191" w14:textId="4D675AF2" w:rsidR="00A75729" w:rsidRPr="00A2114C" w:rsidRDefault="00A75729" w:rsidP="0064057C">
            <w:pPr>
              <w:spacing w:line="276" w:lineRule="auto"/>
              <w:jc w:val="both"/>
              <w:rPr>
                <w:b/>
                <w:bCs/>
              </w:rPr>
            </w:pPr>
            <w:r w:rsidRPr="00A2114C">
              <w:rPr>
                <w:b/>
                <w:bCs/>
              </w:rPr>
              <w:t>4.4. Propuneri pentru acoperirea creşterii cheltuielilor bugetare</w:t>
            </w:r>
          </w:p>
        </w:tc>
        <w:tc>
          <w:tcPr>
            <w:tcW w:w="1058" w:type="dxa"/>
          </w:tcPr>
          <w:p w14:paraId="12553E7B" w14:textId="77777777" w:rsidR="00A75729" w:rsidRPr="00A2114C" w:rsidRDefault="00A75729" w:rsidP="0064057C">
            <w:pPr>
              <w:spacing w:line="276" w:lineRule="auto"/>
              <w:jc w:val="center"/>
            </w:pPr>
          </w:p>
        </w:tc>
        <w:tc>
          <w:tcPr>
            <w:tcW w:w="1366" w:type="dxa"/>
          </w:tcPr>
          <w:p w14:paraId="6B4AB040" w14:textId="77777777" w:rsidR="00A75729" w:rsidRPr="00A2114C" w:rsidRDefault="00A75729" w:rsidP="0064057C">
            <w:pPr>
              <w:spacing w:line="276" w:lineRule="auto"/>
              <w:jc w:val="center"/>
            </w:pPr>
          </w:p>
        </w:tc>
        <w:tc>
          <w:tcPr>
            <w:tcW w:w="1466" w:type="dxa"/>
          </w:tcPr>
          <w:p w14:paraId="2B58709A" w14:textId="77777777" w:rsidR="00A75729" w:rsidRPr="00A2114C" w:rsidRDefault="00A75729" w:rsidP="0064057C">
            <w:pPr>
              <w:spacing w:line="276" w:lineRule="auto"/>
              <w:jc w:val="center"/>
            </w:pPr>
          </w:p>
        </w:tc>
        <w:tc>
          <w:tcPr>
            <w:tcW w:w="1366" w:type="dxa"/>
          </w:tcPr>
          <w:p w14:paraId="7AE48667" w14:textId="77777777" w:rsidR="00A75729" w:rsidRPr="00A2114C" w:rsidRDefault="00A75729" w:rsidP="0064057C">
            <w:pPr>
              <w:spacing w:line="276" w:lineRule="auto"/>
              <w:jc w:val="center"/>
            </w:pPr>
          </w:p>
        </w:tc>
        <w:tc>
          <w:tcPr>
            <w:tcW w:w="1135" w:type="dxa"/>
          </w:tcPr>
          <w:p w14:paraId="2C05220B" w14:textId="77777777" w:rsidR="00A75729" w:rsidRPr="00A2114C" w:rsidRDefault="00A75729" w:rsidP="0064057C">
            <w:pPr>
              <w:spacing w:line="276" w:lineRule="auto"/>
              <w:jc w:val="center"/>
            </w:pPr>
          </w:p>
        </w:tc>
        <w:tc>
          <w:tcPr>
            <w:tcW w:w="1448" w:type="dxa"/>
          </w:tcPr>
          <w:p w14:paraId="5BF7C6F4" w14:textId="77777777" w:rsidR="00A75729" w:rsidRPr="00A2114C" w:rsidRDefault="00A75729" w:rsidP="0064057C">
            <w:pPr>
              <w:spacing w:line="276" w:lineRule="auto"/>
              <w:jc w:val="center"/>
            </w:pPr>
          </w:p>
        </w:tc>
      </w:tr>
      <w:tr w:rsidR="002B2AD7" w:rsidRPr="00A2114C" w14:paraId="0936FEC1" w14:textId="77777777" w:rsidTr="005A13C5">
        <w:tc>
          <w:tcPr>
            <w:tcW w:w="2694" w:type="dxa"/>
          </w:tcPr>
          <w:p w14:paraId="31602873" w14:textId="19763228" w:rsidR="00A75729" w:rsidRPr="00A2114C" w:rsidRDefault="00A75729" w:rsidP="0064057C">
            <w:pPr>
              <w:spacing w:line="276" w:lineRule="auto"/>
              <w:jc w:val="both"/>
              <w:rPr>
                <w:b/>
                <w:bCs/>
              </w:rPr>
            </w:pPr>
            <w:r w:rsidRPr="00A2114C">
              <w:rPr>
                <w:b/>
                <w:bCs/>
              </w:rPr>
              <w:lastRenderedPageBreak/>
              <w:t>4.5. Propuneri pentru a compensa reducerea veniturilor bugetare</w:t>
            </w:r>
          </w:p>
        </w:tc>
        <w:tc>
          <w:tcPr>
            <w:tcW w:w="1058" w:type="dxa"/>
          </w:tcPr>
          <w:p w14:paraId="50FCA196" w14:textId="77777777" w:rsidR="00A75729" w:rsidRPr="00A2114C" w:rsidRDefault="00A75729" w:rsidP="0064057C">
            <w:pPr>
              <w:spacing w:line="276" w:lineRule="auto"/>
              <w:jc w:val="center"/>
            </w:pPr>
          </w:p>
        </w:tc>
        <w:tc>
          <w:tcPr>
            <w:tcW w:w="1366" w:type="dxa"/>
          </w:tcPr>
          <w:p w14:paraId="06CFE138" w14:textId="77777777" w:rsidR="00A75729" w:rsidRPr="00A2114C" w:rsidRDefault="00A75729" w:rsidP="0064057C">
            <w:pPr>
              <w:spacing w:line="276" w:lineRule="auto"/>
              <w:jc w:val="center"/>
            </w:pPr>
          </w:p>
        </w:tc>
        <w:tc>
          <w:tcPr>
            <w:tcW w:w="1466" w:type="dxa"/>
          </w:tcPr>
          <w:p w14:paraId="6FFFE022" w14:textId="77777777" w:rsidR="00A75729" w:rsidRPr="00A2114C" w:rsidRDefault="00A75729" w:rsidP="0064057C">
            <w:pPr>
              <w:spacing w:line="276" w:lineRule="auto"/>
              <w:jc w:val="center"/>
            </w:pPr>
          </w:p>
        </w:tc>
        <w:tc>
          <w:tcPr>
            <w:tcW w:w="1366" w:type="dxa"/>
          </w:tcPr>
          <w:p w14:paraId="46465A6F" w14:textId="77777777" w:rsidR="00A75729" w:rsidRPr="00A2114C" w:rsidRDefault="00A75729" w:rsidP="0064057C">
            <w:pPr>
              <w:spacing w:line="276" w:lineRule="auto"/>
              <w:jc w:val="center"/>
            </w:pPr>
          </w:p>
        </w:tc>
        <w:tc>
          <w:tcPr>
            <w:tcW w:w="1135" w:type="dxa"/>
          </w:tcPr>
          <w:p w14:paraId="14082553" w14:textId="77777777" w:rsidR="00A75729" w:rsidRPr="00A2114C" w:rsidRDefault="00A75729" w:rsidP="0064057C">
            <w:pPr>
              <w:spacing w:line="276" w:lineRule="auto"/>
              <w:jc w:val="center"/>
            </w:pPr>
          </w:p>
        </w:tc>
        <w:tc>
          <w:tcPr>
            <w:tcW w:w="1448" w:type="dxa"/>
          </w:tcPr>
          <w:p w14:paraId="178CA231" w14:textId="77777777" w:rsidR="00A75729" w:rsidRPr="00A2114C" w:rsidRDefault="00A75729" w:rsidP="0064057C">
            <w:pPr>
              <w:spacing w:line="276" w:lineRule="auto"/>
              <w:jc w:val="center"/>
            </w:pPr>
          </w:p>
        </w:tc>
      </w:tr>
      <w:tr w:rsidR="002B2AD7" w:rsidRPr="00A2114C" w14:paraId="153D0F09" w14:textId="77777777" w:rsidTr="005A13C5">
        <w:tc>
          <w:tcPr>
            <w:tcW w:w="2694" w:type="dxa"/>
          </w:tcPr>
          <w:p w14:paraId="4E7FCDBB" w14:textId="336B0E28" w:rsidR="00A75729" w:rsidRPr="00A2114C" w:rsidRDefault="00A75729" w:rsidP="0064057C">
            <w:pPr>
              <w:spacing w:line="276" w:lineRule="auto"/>
              <w:jc w:val="both"/>
              <w:rPr>
                <w:b/>
                <w:bCs/>
              </w:rPr>
            </w:pPr>
            <w:r w:rsidRPr="00A2114C">
              <w:rPr>
                <w:b/>
                <w:bCs/>
              </w:rPr>
              <w:t>4.6. Calcule detaliate privind fundamentarea modificărilor  veniturilor şi/sau cheltuielilor bugetare</w:t>
            </w:r>
          </w:p>
        </w:tc>
        <w:tc>
          <w:tcPr>
            <w:tcW w:w="1058" w:type="dxa"/>
          </w:tcPr>
          <w:p w14:paraId="18046DC1" w14:textId="77777777" w:rsidR="00A75729" w:rsidRPr="00A2114C" w:rsidRDefault="00A75729" w:rsidP="0064057C">
            <w:pPr>
              <w:spacing w:line="276" w:lineRule="auto"/>
              <w:jc w:val="center"/>
            </w:pPr>
          </w:p>
        </w:tc>
        <w:tc>
          <w:tcPr>
            <w:tcW w:w="1366" w:type="dxa"/>
          </w:tcPr>
          <w:p w14:paraId="7CF35163" w14:textId="77777777" w:rsidR="00A75729" w:rsidRPr="00A2114C" w:rsidRDefault="00A75729" w:rsidP="0064057C">
            <w:pPr>
              <w:spacing w:line="276" w:lineRule="auto"/>
              <w:jc w:val="center"/>
            </w:pPr>
          </w:p>
        </w:tc>
        <w:tc>
          <w:tcPr>
            <w:tcW w:w="1466" w:type="dxa"/>
          </w:tcPr>
          <w:p w14:paraId="1D863FB9" w14:textId="77777777" w:rsidR="00A75729" w:rsidRPr="00A2114C" w:rsidRDefault="00A75729" w:rsidP="0064057C">
            <w:pPr>
              <w:spacing w:line="276" w:lineRule="auto"/>
              <w:jc w:val="center"/>
            </w:pPr>
          </w:p>
        </w:tc>
        <w:tc>
          <w:tcPr>
            <w:tcW w:w="1366" w:type="dxa"/>
          </w:tcPr>
          <w:p w14:paraId="42476051" w14:textId="77777777" w:rsidR="00A75729" w:rsidRPr="00A2114C" w:rsidRDefault="00A75729" w:rsidP="0064057C">
            <w:pPr>
              <w:spacing w:line="276" w:lineRule="auto"/>
              <w:jc w:val="center"/>
            </w:pPr>
          </w:p>
        </w:tc>
        <w:tc>
          <w:tcPr>
            <w:tcW w:w="1135" w:type="dxa"/>
          </w:tcPr>
          <w:p w14:paraId="4746E189" w14:textId="77777777" w:rsidR="00A75729" w:rsidRPr="00A2114C" w:rsidRDefault="00A75729" w:rsidP="0064057C">
            <w:pPr>
              <w:spacing w:line="276" w:lineRule="auto"/>
              <w:jc w:val="center"/>
            </w:pPr>
          </w:p>
        </w:tc>
        <w:tc>
          <w:tcPr>
            <w:tcW w:w="1448" w:type="dxa"/>
          </w:tcPr>
          <w:p w14:paraId="05472402" w14:textId="77777777" w:rsidR="00A75729" w:rsidRPr="00A2114C" w:rsidRDefault="00A75729" w:rsidP="0064057C">
            <w:pPr>
              <w:spacing w:line="276" w:lineRule="auto"/>
              <w:jc w:val="center"/>
            </w:pPr>
          </w:p>
        </w:tc>
      </w:tr>
      <w:tr w:rsidR="002B2AD7" w:rsidRPr="00A2114C" w14:paraId="260B3CE9" w14:textId="77777777" w:rsidTr="009C70FA">
        <w:tc>
          <w:tcPr>
            <w:tcW w:w="10533" w:type="dxa"/>
            <w:gridSpan w:val="7"/>
          </w:tcPr>
          <w:p w14:paraId="38A65360" w14:textId="7BB19CF9" w:rsidR="00A75729" w:rsidRPr="00A2114C" w:rsidRDefault="00A75729" w:rsidP="0064057C">
            <w:pPr>
              <w:spacing w:line="276" w:lineRule="auto"/>
              <w:jc w:val="both"/>
              <w:rPr>
                <w:b/>
                <w:bCs/>
              </w:rPr>
            </w:pPr>
            <w:r w:rsidRPr="00A2114C">
              <w:rPr>
                <w:b/>
                <w:bCs/>
              </w:rPr>
              <w:t>4.7. Prezentarea, în cazul proiectelor de acte normative</w:t>
            </w:r>
            <w:r w:rsidR="00A60FAE" w:rsidRPr="00A2114C">
              <w:rPr>
                <w:b/>
                <w:bCs/>
              </w:rPr>
              <w:t xml:space="preserve"> a căror adaptare atrage majorarea cheltuielilor bugetare, a următoarelor documente:</w:t>
            </w:r>
          </w:p>
          <w:p w14:paraId="67DFFAEF" w14:textId="350B0C6A" w:rsidR="00A60FAE" w:rsidRPr="00A2114C" w:rsidRDefault="00A60FAE" w:rsidP="0064057C">
            <w:pPr>
              <w:spacing w:line="276" w:lineRule="auto"/>
              <w:jc w:val="both"/>
            </w:pPr>
            <w:r w:rsidRPr="00A2114C">
              <w:t>a) fișa financiară prevăzută la art. 15 din Legea nr. 500/2002 privind finanțele publice, cu modificările și completările ulterioare, însoțită de ipotezele și metodologia de calcul utilizată;</w:t>
            </w:r>
          </w:p>
          <w:p w14:paraId="699F79A9" w14:textId="3858F0A9" w:rsidR="00A60FAE" w:rsidRPr="00A2114C" w:rsidRDefault="00A60FAE" w:rsidP="0064057C">
            <w:pPr>
              <w:spacing w:line="276" w:lineRule="auto"/>
              <w:jc w:val="both"/>
            </w:pPr>
            <w:r w:rsidRPr="00A2114C">
              <w:t xml:space="preserve">b) declarație conform căreia majorarea de cheltuială respectivă este compatibilă cu obiectivele și prioritățile strategice specificate în strategia fiscal-bugetară, cu legea bugetară anuală și cu plafoanele </w:t>
            </w:r>
            <w:r w:rsidR="00A82648" w:rsidRPr="00A2114C">
              <w:t xml:space="preserve">de cheltuieli </w:t>
            </w:r>
            <w:r w:rsidRPr="00A2114C">
              <w:t>prezentate în strategia fiscal-bugetară.</w:t>
            </w:r>
          </w:p>
        </w:tc>
      </w:tr>
      <w:tr w:rsidR="002B2AD7" w:rsidRPr="00A2114C" w14:paraId="675CE50B" w14:textId="77777777" w:rsidTr="009C70FA">
        <w:tc>
          <w:tcPr>
            <w:tcW w:w="10533" w:type="dxa"/>
            <w:gridSpan w:val="7"/>
          </w:tcPr>
          <w:p w14:paraId="21636BA1" w14:textId="77777777" w:rsidR="00B4537B" w:rsidRDefault="00B4537B" w:rsidP="0064057C">
            <w:pPr>
              <w:spacing w:line="276" w:lineRule="auto"/>
              <w:rPr>
                <w:b/>
                <w:bCs/>
                <w:noProof/>
              </w:rPr>
            </w:pPr>
            <w:r w:rsidRPr="00A2114C">
              <w:rPr>
                <w:b/>
                <w:bCs/>
                <w:noProof/>
              </w:rPr>
              <w:t>4.8. Alte informații</w:t>
            </w:r>
          </w:p>
          <w:p w14:paraId="64B74EF4" w14:textId="2DE0BA9A" w:rsidR="00BA1894" w:rsidRPr="00A2114C" w:rsidRDefault="00BA1894" w:rsidP="0064057C">
            <w:pPr>
              <w:spacing w:line="276" w:lineRule="auto"/>
              <w:rPr>
                <w:b/>
                <w:bCs/>
                <w:noProof/>
              </w:rPr>
            </w:pPr>
          </w:p>
        </w:tc>
      </w:tr>
    </w:tbl>
    <w:p w14:paraId="3F0D2807" w14:textId="400A5DC5" w:rsidR="00BA1894" w:rsidRDefault="00670C79" w:rsidP="0069177D">
      <w:pPr>
        <w:spacing w:line="276" w:lineRule="auto"/>
        <w:jc w:val="both"/>
        <w:rPr>
          <w:b/>
        </w:rPr>
      </w:pPr>
      <w:r w:rsidRPr="00A2114C">
        <w:rPr>
          <w:b/>
        </w:rPr>
        <w:t xml:space="preserve">   </w:t>
      </w:r>
      <w:r w:rsidR="0069177D">
        <w:rPr>
          <w:b/>
        </w:rPr>
        <w:tab/>
      </w:r>
    </w:p>
    <w:p w14:paraId="68BC28A1" w14:textId="77777777" w:rsidR="00303141" w:rsidRDefault="00303141" w:rsidP="0069177D">
      <w:pPr>
        <w:spacing w:line="276" w:lineRule="auto"/>
        <w:jc w:val="both"/>
        <w:rPr>
          <w:b/>
        </w:rPr>
      </w:pPr>
    </w:p>
    <w:p w14:paraId="777ED2E4" w14:textId="13DDCCF9" w:rsidR="00B4537B" w:rsidRPr="00A2114C" w:rsidRDefault="00670C79" w:rsidP="00BA1894">
      <w:pPr>
        <w:spacing w:line="276" w:lineRule="auto"/>
        <w:ind w:firstLine="720"/>
        <w:jc w:val="both"/>
        <w:rPr>
          <w:b/>
        </w:rPr>
      </w:pPr>
      <w:r w:rsidRPr="00A2114C">
        <w:rPr>
          <w:b/>
        </w:rPr>
        <w:t xml:space="preserve">Secţiunea a 5-a </w:t>
      </w:r>
    </w:p>
    <w:p w14:paraId="7E1BCAF6" w14:textId="78D02EB4" w:rsidR="00670C79" w:rsidRDefault="00670C79" w:rsidP="0064057C">
      <w:pPr>
        <w:spacing w:line="276" w:lineRule="auto"/>
        <w:ind w:firstLine="720"/>
        <w:jc w:val="both"/>
        <w:rPr>
          <w:b/>
        </w:rPr>
      </w:pPr>
      <w:r w:rsidRPr="00A2114C">
        <w:rPr>
          <w:b/>
        </w:rPr>
        <w:t xml:space="preserve">Efectele proiectului de act normativ asupra </w:t>
      </w:r>
      <w:r w:rsidR="00303141" w:rsidRPr="00A2114C">
        <w:rPr>
          <w:b/>
        </w:rPr>
        <w:t>legislației</w:t>
      </w:r>
      <w:r w:rsidRPr="00A2114C">
        <w:rPr>
          <w:b/>
        </w:rPr>
        <w:t xml:space="preserve"> în vigoare</w:t>
      </w:r>
    </w:p>
    <w:p w14:paraId="659CA8D9" w14:textId="77777777" w:rsidR="00303141" w:rsidRDefault="00303141" w:rsidP="0064057C">
      <w:pPr>
        <w:spacing w:line="276" w:lineRule="auto"/>
        <w:ind w:firstLine="720"/>
        <w:jc w:val="both"/>
        <w:rPr>
          <w:b/>
        </w:rPr>
      </w:pPr>
    </w:p>
    <w:p w14:paraId="1D2D990F" w14:textId="77777777" w:rsidR="00BA1894" w:rsidRDefault="00BA1894" w:rsidP="0064057C">
      <w:pPr>
        <w:spacing w:line="276" w:lineRule="auto"/>
        <w:ind w:firstLine="720"/>
        <w:jc w:val="both"/>
        <w:rPr>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2B2AD7" w:rsidRPr="00A2114C" w14:paraId="327176B4" w14:textId="77777777" w:rsidTr="009C70FA">
        <w:trPr>
          <w:trHeight w:val="561"/>
        </w:trPr>
        <w:tc>
          <w:tcPr>
            <w:tcW w:w="10533" w:type="dxa"/>
          </w:tcPr>
          <w:p w14:paraId="4F9076D7" w14:textId="407D2D2C" w:rsidR="00973701" w:rsidRPr="00A2114C" w:rsidRDefault="00973701" w:rsidP="0064057C">
            <w:pPr>
              <w:spacing w:line="276" w:lineRule="auto"/>
              <w:jc w:val="both"/>
              <w:rPr>
                <w:b/>
                <w:bCs/>
              </w:rPr>
            </w:pPr>
            <w:r w:rsidRPr="00A2114C">
              <w:rPr>
                <w:b/>
                <w:bCs/>
              </w:rPr>
              <w:t>5.1. Măsuri normative necesare pentru aplicarea prevederilor proiectului de act normativ</w:t>
            </w:r>
          </w:p>
          <w:p w14:paraId="79B335E6" w14:textId="7C87FE32" w:rsidR="00973701" w:rsidRPr="00A2114C" w:rsidRDefault="00973701" w:rsidP="0064057C">
            <w:pPr>
              <w:tabs>
                <w:tab w:val="left" w:pos="201"/>
              </w:tabs>
              <w:spacing w:line="276" w:lineRule="auto"/>
              <w:jc w:val="both"/>
              <w:rPr>
                <w:b/>
                <w:bCs/>
              </w:rPr>
            </w:pPr>
            <w:r w:rsidRPr="00A2114C">
              <w:rPr>
                <w:b/>
                <w:bCs/>
              </w:rPr>
              <w:t>5.2. Impactul asupra legislației în domeniul achizițiilor publice</w:t>
            </w:r>
          </w:p>
          <w:p w14:paraId="3CE6B9A6" w14:textId="1FF66AFD" w:rsidR="00973701" w:rsidRPr="00A2114C" w:rsidRDefault="00973701" w:rsidP="0064057C">
            <w:pPr>
              <w:tabs>
                <w:tab w:val="left" w:pos="201"/>
              </w:tabs>
              <w:spacing w:line="276" w:lineRule="auto"/>
              <w:jc w:val="both"/>
              <w:rPr>
                <w:b/>
                <w:bCs/>
              </w:rPr>
            </w:pPr>
            <w:r w:rsidRPr="00A2114C">
              <w:rPr>
                <w:b/>
                <w:bCs/>
              </w:rPr>
              <w:t>5.3. Conformitatea  proiectului de act normativ cu legislaţia UE (în cazul proiectelor ce transpun sau asigură aplicarea unor prevederi de drept UE)</w:t>
            </w:r>
          </w:p>
          <w:p w14:paraId="09158D06" w14:textId="7EEBFF96" w:rsidR="00973701" w:rsidRPr="00A2114C" w:rsidRDefault="00973701" w:rsidP="0064057C">
            <w:pPr>
              <w:tabs>
                <w:tab w:val="left" w:pos="201"/>
              </w:tabs>
              <w:spacing w:line="276" w:lineRule="auto"/>
              <w:jc w:val="both"/>
              <w:rPr>
                <w:b/>
                <w:bCs/>
              </w:rPr>
            </w:pPr>
            <w:r w:rsidRPr="00A2114C">
              <w:rPr>
                <w:b/>
                <w:bCs/>
              </w:rPr>
              <w:t>5.3.1. Măsuri normative necesare transpunerii directivelor UE</w:t>
            </w:r>
          </w:p>
          <w:p w14:paraId="4087DBF1" w14:textId="712974EB" w:rsidR="00973701" w:rsidRPr="00A2114C" w:rsidRDefault="00674D58" w:rsidP="0064057C">
            <w:pPr>
              <w:tabs>
                <w:tab w:val="left" w:pos="201"/>
              </w:tabs>
              <w:spacing w:line="276" w:lineRule="auto"/>
              <w:jc w:val="both"/>
              <w:rPr>
                <w:b/>
                <w:bCs/>
              </w:rPr>
            </w:pPr>
            <w:r w:rsidRPr="00A2114C">
              <w:rPr>
                <w:b/>
                <w:bCs/>
              </w:rPr>
              <w:t>5.3.2. Măsuri normative necesare aplicării actelor legislative UE</w:t>
            </w:r>
          </w:p>
          <w:p w14:paraId="1292063A" w14:textId="254BC23D" w:rsidR="002623AD" w:rsidRPr="00A2114C" w:rsidRDefault="00674D58" w:rsidP="0064057C">
            <w:pPr>
              <w:tabs>
                <w:tab w:val="left" w:pos="201"/>
              </w:tabs>
              <w:spacing w:line="276" w:lineRule="auto"/>
              <w:jc w:val="both"/>
              <w:rPr>
                <w:b/>
                <w:bCs/>
              </w:rPr>
            </w:pPr>
            <w:r w:rsidRPr="00A2114C">
              <w:rPr>
                <w:b/>
                <w:bCs/>
              </w:rPr>
              <w:t>5.4. Hotărâri ale Curţii de Justiţie a Uniunii Europene</w:t>
            </w:r>
            <w:r w:rsidR="002623AD" w:rsidRPr="00A2114C">
              <w:rPr>
                <w:b/>
                <w:bCs/>
              </w:rPr>
              <w:t xml:space="preserve"> </w:t>
            </w:r>
            <w:r w:rsidR="0008730B" w:rsidRPr="00A2114C">
              <w:rPr>
                <w:b/>
                <w:bCs/>
              </w:rPr>
              <w:t>–</w:t>
            </w:r>
            <w:r w:rsidR="002623AD" w:rsidRPr="00A2114C">
              <w:rPr>
                <w:b/>
                <w:bCs/>
              </w:rPr>
              <w:t xml:space="preserve"> </w:t>
            </w:r>
          </w:p>
          <w:p w14:paraId="6410C1B3" w14:textId="4D731C69" w:rsidR="0008730B" w:rsidRPr="00A2114C" w:rsidRDefault="00674D58" w:rsidP="0064057C">
            <w:pPr>
              <w:tabs>
                <w:tab w:val="left" w:pos="201"/>
              </w:tabs>
              <w:spacing w:line="276" w:lineRule="auto"/>
              <w:jc w:val="both"/>
              <w:rPr>
                <w:b/>
                <w:bCs/>
              </w:rPr>
            </w:pPr>
            <w:r w:rsidRPr="00A2114C">
              <w:rPr>
                <w:b/>
                <w:bCs/>
              </w:rPr>
              <w:t>5.5. Alte acte normative şi/sau documente internaţionale din care decurg angajamente asumate</w:t>
            </w:r>
            <w:r w:rsidR="002623AD" w:rsidRPr="00A2114C">
              <w:rPr>
                <w:b/>
                <w:bCs/>
              </w:rPr>
              <w:t xml:space="preserve"> </w:t>
            </w:r>
            <w:r w:rsidR="0008730B" w:rsidRPr="00A2114C">
              <w:rPr>
                <w:b/>
                <w:bCs/>
              </w:rPr>
              <w:t>–</w:t>
            </w:r>
            <w:r w:rsidR="002623AD" w:rsidRPr="00A2114C">
              <w:rPr>
                <w:b/>
                <w:bCs/>
              </w:rPr>
              <w:t xml:space="preserve"> </w:t>
            </w:r>
          </w:p>
          <w:p w14:paraId="7C430706" w14:textId="63915D44" w:rsidR="00973701" w:rsidRPr="00A2114C" w:rsidRDefault="00674D58" w:rsidP="0064057C">
            <w:pPr>
              <w:tabs>
                <w:tab w:val="left" w:pos="201"/>
              </w:tabs>
              <w:spacing w:line="276" w:lineRule="auto"/>
              <w:jc w:val="both"/>
            </w:pPr>
            <w:r w:rsidRPr="00A2114C">
              <w:rPr>
                <w:b/>
                <w:bCs/>
              </w:rPr>
              <w:t>5.6. Alte informații</w:t>
            </w:r>
          </w:p>
        </w:tc>
      </w:tr>
    </w:tbl>
    <w:p w14:paraId="55327CE2" w14:textId="77777777" w:rsidR="00BA1894" w:rsidRDefault="00DB715E" w:rsidP="0000121D">
      <w:pPr>
        <w:spacing w:line="276" w:lineRule="auto"/>
        <w:rPr>
          <w:b/>
        </w:rPr>
      </w:pPr>
      <w:r w:rsidRPr="00A2114C">
        <w:rPr>
          <w:b/>
        </w:rPr>
        <w:t xml:space="preserve">  </w:t>
      </w:r>
      <w:r w:rsidR="002D2045" w:rsidRPr="00A2114C">
        <w:rPr>
          <w:b/>
        </w:rPr>
        <w:tab/>
      </w:r>
    </w:p>
    <w:p w14:paraId="4E2FEF1C" w14:textId="77777777" w:rsidR="00303141" w:rsidRDefault="00303141" w:rsidP="00BA1894">
      <w:pPr>
        <w:spacing w:line="276" w:lineRule="auto"/>
        <w:ind w:firstLine="720"/>
        <w:rPr>
          <w:b/>
        </w:rPr>
      </w:pPr>
    </w:p>
    <w:p w14:paraId="6F04DAD9" w14:textId="70462615" w:rsidR="00BB0782" w:rsidRPr="00A2114C" w:rsidRDefault="00BB0782" w:rsidP="00BA1894">
      <w:pPr>
        <w:spacing w:line="276" w:lineRule="auto"/>
        <w:ind w:firstLine="720"/>
        <w:rPr>
          <w:b/>
        </w:rPr>
      </w:pPr>
      <w:r w:rsidRPr="00A2114C">
        <w:rPr>
          <w:b/>
        </w:rPr>
        <w:t>Secțiunea a 6-a</w:t>
      </w:r>
    </w:p>
    <w:p w14:paraId="4113E59E" w14:textId="02F677AF" w:rsidR="00670C79" w:rsidRDefault="00670C79" w:rsidP="0064057C">
      <w:pPr>
        <w:spacing w:line="276" w:lineRule="auto"/>
        <w:ind w:firstLine="720"/>
        <w:rPr>
          <w:b/>
        </w:rPr>
      </w:pPr>
      <w:r w:rsidRPr="00A2114C">
        <w:rPr>
          <w:b/>
        </w:rPr>
        <w:t>Consultările efectuate în vederea elaborării proiectului de act normativ</w:t>
      </w:r>
    </w:p>
    <w:p w14:paraId="445A37A3" w14:textId="77777777" w:rsidR="00303141" w:rsidRDefault="00303141" w:rsidP="0064057C">
      <w:pPr>
        <w:spacing w:line="276" w:lineRule="auto"/>
        <w:ind w:firstLine="720"/>
        <w:rPr>
          <w:b/>
        </w:rPr>
      </w:pPr>
    </w:p>
    <w:p w14:paraId="530036BA" w14:textId="77777777" w:rsidR="00BA1894" w:rsidRDefault="00BA1894" w:rsidP="0064057C">
      <w:pPr>
        <w:spacing w:line="276" w:lineRule="auto"/>
        <w:ind w:firstLine="720"/>
        <w:rPr>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2B2AD7" w:rsidRPr="00A2114C" w14:paraId="5EB7CDBC" w14:textId="77777777" w:rsidTr="009C70FA">
        <w:tc>
          <w:tcPr>
            <w:tcW w:w="10533" w:type="dxa"/>
          </w:tcPr>
          <w:p w14:paraId="598B642C" w14:textId="50A84CE9" w:rsidR="00770E01" w:rsidRPr="00A2114C" w:rsidRDefault="00770E01" w:rsidP="0064057C">
            <w:pPr>
              <w:spacing w:line="276" w:lineRule="auto"/>
              <w:jc w:val="both"/>
              <w:rPr>
                <w:b/>
                <w:bCs/>
              </w:rPr>
            </w:pPr>
            <w:r w:rsidRPr="00A2114C">
              <w:rPr>
                <w:b/>
                <w:bCs/>
              </w:rPr>
              <w:t>6.1. Informații privind neaplicarea procedurii de participare la elaborarea actelor normative</w:t>
            </w:r>
          </w:p>
          <w:p w14:paraId="0B61431A" w14:textId="692060C1" w:rsidR="00770E01" w:rsidRPr="00A2114C" w:rsidRDefault="00770E01" w:rsidP="0064057C">
            <w:pPr>
              <w:spacing w:line="276" w:lineRule="auto"/>
              <w:jc w:val="both"/>
              <w:rPr>
                <w:b/>
                <w:bCs/>
              </w:rPr>
            </w:pPr>
            <w:r w:rsidRPr="00A2114C">
              <w:rPr>
                <w:b/>
                <w:bCs/>
              </w:rPr>
              <w:t>6.2. Informaţii privind procesul de consultare cu organizaţii neguvernamentale, institute de cercetare şi alte organisme implicate</w:t>
            </w:r>
          </w:p>
          <w:p w14:paraId="2BABECC5" w14:textId="6F40CA01" w:rsidR="00926ABC" w:rsidRPr="00A2114C" w:rsidRDefault="00770E01" w:rsidP="0064057C">
            <w:pPr>
              <w:spacing w:line="276" w:lineRule="auto"/>
              <w:jc w:val="both"/>
              <w:rPr>
                <w:b/>
                <w:bCs/>
              </w:rPr>
            </w:pPr>
            <w:r w:rsidRPr="00A2114C">
              <w:rPr>
                <w:b/>
                <w:bCs/>
              </w:rPr>
              <w:t>6.3. Informații despre consultările organizate cu autoritățile administrației publice locale</w:t>
            </w:r>
          </w:p>
          <w:p w14:paraId="277694A9" w14:textId="6B0500BC" w:rsidR="00333084" w:rsidRPr="00A2114C" w:rsidRDefault="00333084" w:rsidP="0064057C">
            <w:pPr>
              <w:spacing w:line="276" w:lineRule="auto"/>
              <w:jc w:val="both"/>
            </w:pPr>
            <w:r w:rsidRPr="00A2114C">
              <w:lastRenderedPageBreak/>
              <w:t>A fost realizată procedura de consultare în conformitate cu prevederile Ordonanței de urgență a Guvernului nr. 57/2019 privind Codul administrativ, cu</w:t>
            </w:r>
            <w:r w:rsidR="005F1FEB">
              <w:t xml:space="preserve"> modifiăcrile și</w:t>
            </w:r>
            <w:r w:rsidRPr="00A2114C">
              <w:t>completările ulterioare, precum și ale Hotărârii Guvernului nr. 635/2022 privind procedura de consultare a structurilor asociative ale autorităţilor administraţiei publice locale la elaborarea proiectelor de acte normative.</w:t>
            </w:r>
          </w:p>
          <w:p w14:paraId="64A2734E" w14:textId="5C5D766B" w:rsidR="00333084" w:rsidRPr="00A2114C" w:rsidRDefault="00333084" w:rsidP="0064057C">
            <w:pPr>
              <w:spacing w:line="276" w:lineRule="auto"/>
              <w:jc w:val="both"/>
            </w:pPr>
            <w:r w:rsidRPr="00A2114C">
              <w:t>Proiectul de act normativ a fost transmis pentru consultare structurilor asociative ale autorităților administrației publice locale, solicitându-se  punct de vedere de la Asociația Comunelor din România, Asociația Municipiilor din România, Asociația Orașelor din România, respectiv de la Uniunea Națională a Consiliilor Județene din România.</w:t>
            </w:r>
          </w:p>
          <w:p w14:paraId="53F02791" w14:textId="33A0463B" w:rsidR="00770E01" w:rsidRPr="00A2114C" w:rsidRDefault="00770E01" w:rsidP="0064057C">
            <w:pPr>
              <w:spacing w:line="276" w:lineRule="auto"/>
              <w:jc w:val="both"/>
              <w:rPr>
                <w:b/>
                <w:bCs/>
              </w:rPr>
            </w:pPr>
            <w:r w:rsidRPr="00A2114C">
              <w:rPr>
                <w:b/>
                <w:bCs/>
              </w:rPr>
              <w:t>6.4. Informații privind puncte de vedere/opinii emise de organisme consulative constituite prin acte normative</w:t>
            </w:r>
          </w:p>
          <w:p w14:paraId="0FF572CC" w14:textId="733196DE" w:rsidR="00770E01" w:rsidRPr="00A2114C" w:rsidRDefault="00770E01" w:rsidP="0064057C">
            <w:pPr>
              <w:spacing w:line="276" w:lineRule="auto"/>
              <w:jc w:val="both"/>
              <w:rPr>
                <w:b/>
                <w:bCs/>
              </w:rPr>
            </w:pPr>
            <w:r w:rsidRPr="00A2114C">
              <w:rPr>
                <w:b/>
                <w:bCs/>
              </w:rPr>
              <w:t>6.5</w:t>
            </w:r>
            <w:r w:rsidR="004555DD" w:rsidRPr="00A2114C">
              <w:rPr>
                <w:b/>
                <w:bCs/>
              </w:rPr>
              <w:t>.</w:t>
            </w:r>
            <w:r w:rsidRPr="00A2114C">
              <w:rPr>
                <w:b/>
                <w:bCs/>
              </w:rPr>
              <w:t xml:space="preserve"> Informații privind avizarea de către:</w:t>
            </w:r>
          </w:p>
          <w:p w14:paraId="09E890F1" w14:textId="77777777" w:rsidR="00157CFC" w:rsidRDefault="00157CFC" w:rsidP="0064057C">
            <w:pPr>
              <w:spacing w:line="276" w:lineRule="auto"/>
              <w:jc w:val="both"/>
            </w:pPr>
            <w:r>
              <w:t>a) Consiliul Legislativ</w:t>
            </w:r>
          </w:p>
          <w:p w14:paraId="3A0D23BA" w14:textId="77777777" w:rsidR="00157CFC" w:rsidRDefault="00157CFC" w:rsidP="0064057C">
            <w:pPr>
              <w:spacing w:line="276" w:lineRule="auto"/>
              <w:jc w:val="both"/>
            </w:pPr>
            <w:r>
              <w:t>b) Consiliul Suprem de Apărare a Ţării</w:t>
            </w:r>
          </w:p>
          <w:p w14:paraId="25205690" w14:textId="77777777" w:rsidR="00157CFC" w:rsidRDefault="00157CFC" w:rsidP="0064057C">
            <w:pPr>
              <w:spacing w:line="276" w:lineRule="auto"/>
              <w:jc w:val="both"/>
            </w:pPr>
            <w:r>
              <w:t>c) Consiliul Economic şi Social</w:t>
            </w:r>
          </w:p>
          <w:p w14:paraId="64A58A6F" w14:textId="77777777" w:rsidR="00157CFC" w:rsidRDefault="00157CFC" w:rsidP="0064057C">
            <w:pPr>
              <w:spacing w:line="276" w:lineRule="auto"/>
              <w:jc w:val="both"/>
            </w:pPr>
            <w:r>
              <w:t xml:space="preserve">d) Consiliul Concurenţei </w:t>
            </w:r>
          </w:p>
          <w:p w14:paraId="2CB60868" w14:textId="0F1E1302" w:rsidR="00157CFC" w:rsidRDefault="00157CFC" w:rsidP="0064057C">
            <w:pPr>
              <w:spacing w:line="276" w:lineRule="auto"/>
              <w:jc w:val="both"/>
              <w:rPr>
                <w:b/>
                <w:bCs/>
              </w:rPr>
            </w:pPr>
            <w:r>
              <w:t>e) Curtea de Conturi</w:t>
            </w:r>
          </w:p>
          <w:p w14:paraId="5198A8CE" w14:textId="77777777" w:rsidR="00770E01" w:rsidRDefault="00770E01" w:rsidP="0064057C">
            <w:pPr>
              <w:spacing w:line="276" w:lineRule="auto"/>
              <w:jc w:val="both"/>
              <w:rPr>
                <w:b/>
                <w:bCs/>
              </w:rPr>
            </w:pPr>
            <w:r w:rsidRPr="00A2114C">
              <w:rPr>
                <w:b/>
                <w:bCs/>
              </w:rPr>
              <w:t>6.6. Alte informații</w:t>
            </w:r>
          </w:p>
          <w:p w14:paraId="32E03757" w14:textId="1DD741C5" w:rsidR="00157CFC" w:rsidRPr="0064057C" w:rsidRDefault="00157CFC" w:rsidP="0064057C">
            <w:pPr>
              <w:spacing w:line="276" w:lineRule="auto"/>
              <w:jc w:val="both"/>
            </w:pPr>
            <w:r w:rsidRPr="0064057C">
              <w:t>S-a solicitat punctul de vedere al Curții de Conturi a României, al Autorității de Audit din cadrul Curții de Conturi a României</w:t>
            </w:r>
            <w:r>
              <w:t xml:space="preserve"> și</w:t>
            </w:r>
            <w:r w:rsidRPr="0064057C">
              <w:t xml:space="preserve"> al Consiliului Concurenței</w:t>
            </w:r>
            <w:r>
              <w:t>.</w:t>
            </w:r>
          </w:p>
        </w:tc>
      </w:tr>
    </w:tbl>
    <w:p w14:paraId="5A37B1B4" w14:textId="77777777" w:rsidR="00BA1894" w:rsidRDefault="00BA1894" w:rsidP="0064057C">
      <w:pPr>
        <w:pStyle w:val="BodyTextIndent2"/>
        <w:spacing w:before="0" w:after="0" w:line="276" w:lineRule="auto"/>
        <w:ind w:left="180" w:right="98" w:firstLine="540"/>
        <w:jc w:val="both"/>
        <w:rPr>
          <w:bCs w:val="0"/>
          <w:sz w:val="24"/>
        </w:rPr>
      </w:pPr>
    </w:p>
    <w:p w14:paraId="4FEDAB8F" w14:textId="77777777" w:rsidR="00BA1894" w:rsidRDefault="00BA1894" w:rsidP="0064057C">
      <w:pPr>
        <w:pStyle w:val="BodyTextIndent2"/>
        <w:spacing w:before="0" w:after="0" w:line="276" w:lineRule="auto"/>
        <w:ind w:left="180" w:right="98" w:firstLine="540"/>
        <w:jc w:val="both"/>
        <w:rPr>
          <w:bCs w:val="0"/>
          <w:sz w:val="24"/>
        </w:rPr>
      </w:pPr>
    </w:p>
    <w:p w14:paraId="311858C9" w14:textId="0A8FF66F" w:rsidR="00770E01" w:rsidRPr="00A2114C" w:rsidRDefault="00670C79" w:rsidP="0064057C">
      <w:pPr>
        <w:pStyle w:val="BodyTextIndent2"/>
        <w:spacing w:before="0" w:after="0" w:line="276" w:lineRule="auto"/>
        <w:ind w:left="180" w:right="98" w:firstLine="540"/>
        <w:jc w:val="both"/>
        <w:rPr>
          <w:bCs w:val="0"/>
          <w:sz w:val="24"/>
        </w:rPr>
      </w:pPr>
      <w:r w:rsidRPr="00A2114C">
        <w:rPr>
          <w:bCs w:val="0"/>
          <w:sz w:val="24"/>
        </w:rPr>
        <w:t xml:space="preserve">Secţiunea a 7-a  </w:t>
      </w:r>
    </w:p>
    <w:p w14:paraId="45DA67B7" w14:textId="19CE0882" w:rsidR="00260E13" w:rsidRDefault="00670C79" w:rsidP="0064057C">
      <w:pPr>
        <w:pStyle w:val="BodyTextIndent2"/>
        <w:spacing w:before="0" w:after="0" w:line="276" w:lineRule="auto"/>
        <w:ind w:left="180" w:right="98" w:firstLine="540"/>
        <w:jc w:val="both"/>
        <w:rPr>
          <w:bCs w:val="0"/>
          <w:sz w:val="24"/>
        </w:rPr>
      </w:pPr>
      <w:r w:rsidRPr="00A2114C">
        <w:rPr>
          <w:bCs w:val="0"/>
          <w:sz w:val="24"/>
        </w:rPr>
        <w:t xml:space="preserve">Activităţi de informare publică privind elaborarea şi implementarea </w:t>
      </w:r>
      <w:bookmarkStart w:id="0" w:name="_Hlk100229941"/>
      <w:r w:rsidRPr="00A2114C">
        <w:rPr>
          <w:bCs w:val="0"/>
          <w:sz w:val="24"/>
        </w:rPr>
        <w:t>proiectului de act normativ</w:t>
      </w:r>
      <w:bookmarkEnd w:id="0"/>
    </w:p>
    <w:p w14:paraId="10291701" w14:textId="77777777" w:rsidR="00BA1894" w:rsidRDefault="00BA1894" w:rsidP="0064057C">
      <w:pPr>
        <w:pStyle w:val="BodyTextIndent2"/>
        <w:spacing w:before="0" w:after="0" w:line="276" w:lineRule="auto"/>
        <w:ind w:left="180" w:right="98" w:firstLine="540"/>
        <w:jc w:val="both"/>
        <w:rPr>
          <w:bCs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2B2AD7" w:rsidRPr="00A2114C" w14:paraId="416004E3" w14:textId="77777777" w:rsidTr="009C70FA">
        <w:tc>
          <w:tcPr>
            <w:tcW w:w="10533" w:type="dxa"/>
          </w:tcPr>
          <w:p w14:paraId="29554504" w14:textId="45324F95" w:rsidR="00770E01" w:rsidRDefault="00770E01" w:rsidP="00157CFC">
            <w:pPr>
              <w:spacing w:line="276" w:lineRule="auto"/>
              <w:jc w:val="both"/>
              <w:rPr>
                <w:b/>
                <w:bCs/>
              </w:rPr>
            </w:pPr>
            <w:r w:rsidRPr="00A2114C">
              <w:rPr>
                <w:b/>
                <w:bCs/>
              </w:rPr>
              <w:t xml:space="preserve">7.1. </w:t>
            </w:r>
            <w:r w:rsidR="0053566B" w:rsidRPr="00A2114C">
              <w:rPr>
                <w:b/>
                <w:bCs/>
              </w:rPr>
              <w:t>Informarea societăţii civile cu privire la elaborarea proiectului de act normativ</w:t>
            </w:r>
          </w:p>
          <w:p w14:paraId="2A6DF099" w14:textId="6FDF9905" w:rsidR="00434D38" w:rsidRPr="00533A86" w:rsidRDefault="00434D38" w:rsidP="00434D38">
            <w:pPr>
              <w:spacing w:after="120"/>
              <w:jc w:val="both"/>
            </w:pPr>
            <w:r w:rsidRPr="00533A86">
              <w:t xml:space="preserve">Prezentul proiect de act normativ respectă prevederile art. 7 alin. (13) din Legea nr. 52/2003 privind transparența decizională în administrația publică, republicată, și a fost publicat în dezbatere publică pe pagina de internet a Ministerului Investițiilor și Proiectelor Europene la data de </w:t>
            </w:r>
            <w:r w:rsidR="0063188E">
              <w:t>02.05.2023.</w:t>
            </w:r>
          </w:p>
          <w:p w14:paraId="43770E93" w14:textId="77777777" w:rsidR="00434D38" w:rsidRDefault="0053566B" w:rsidP="00157CFC">
            <w:pPr>
              <w:spacing w:line="276" w:lineRule="auto"/>
              <w:jc w:val="both"/>
              <w:rPr>
                <w:b/>
                <w:bCs/>
              </w:rPr>
            </w:pPr>
            <w:r w:rsidRPr="00A2114C">
              <w:rPr>
                <w:b/>
                <w:bCs/>
              </w:rPr>
              <w:t>7.2. Informarea societăţii civile cu privire la e</w:t>
            </w:r>
            <w:r w:rsidR="008F6907" w:rsidRPr="00A2114C">
              <w:rPr>
                <w:b/>
                <w:bCs/>
              </w:rPr>
              <w:t>v</w:t>
            </w:r>
            <w:r w:rsidRPr="00A2114C">
              <w:rPr>
                <w:b/>
                <w:bCs/>
              </w:rPr>
              <w:t>entualul impact asupra mediului în urma implementării proiectului de act normativ, precum și efectele asupra sănătății și securității cetățenilor sau diversității biologice</w:t>
            </w:r>
          </w:p>
          <w:p w14:paraId="6A2C5259" w14:textId="29231F5D" w:rsidR="008F6907" w:rsidRPr="00A2114C" w:rsidRDefault="008F6907" w:rsidP="0064057C">
            <w:pPr>
              <w:spacing w:line="276" w:lineRule="auto"/>
              <w:jc w:val="both"/>
              <w:rPr>
                <w:b/>
                <w:bCs/>
              </w:rPr>
            </w:pPr>
            <w:r w:rsidRPr="00A2114C">
              <w:rPr>
                <w:b/>
                <w:bCs/>
              </w:rPr>
              <w:t>7.3. Alte informații</w:t>
            </w:r>
          </w:p>
        </w:tc>
      </w:tr>
    </w:tbl>
    <w:p w14:paraId="60CB9252" w14:textId="77777777" w:rsidR="00D11056" w:rsidRDefault="00D11056" w:rsidP="0064057C">
      <w:pPr>
        <w:spacing w:line="276" w:lineRule="auto"/>
        <w:ind w:left="180" w:firstLine="540"/>
        <w:rPr>
          <w:b/>
        </w:rPr>
      </w:pPr>
    </w:p>
    <w:p w14:paraId="73866A42" w14:textId="77777777" w:rsidR="00BA1894" w:rsidRDefault="00BA1894" w:rsidP="0064057C">
      <w:pPr>
        <w:spacing w:line="276" w:lineRule="auto"/>
        <w:ind w:left="180" w:firstLine="540"/>
        <w:rPr>
          <w:b/>
        </w:rPr>
      </w:pPr>
    </w:p>
    <w:p w14:paraId="341152AF" w14:textId="4C0EEC27" w:rsidR="0053566B" w:rsidRPr="00A2114C" w:rsidRDefault="00670C79" w:rsidP="0064057C">
      <w:pPr>
        <w:spacing w:line="276" w:lineRule="auto"/>
        <w:ind w:left="180" w:firstLine="540"/>
        <w:rPr>
          <w:b/>
        </w:rPr>
      </w:pPr>
      <w:r w:rsidRPr="00A2114C">
        <w:rPr>
          <w:b/>
        </w:rPr>
        <w:t>Secţiunea a 8- a</w:t>
      </w:r>
      <w:r w:rsidR="002E20A6" w:rsidRPr="00A2114C">
        <w:rPr>
          <w:b/>
        </w:rPr>
        <w:t xml:space="preserve"> </w:t>
      </w:r>
      <w:r w:rsidRPr="00A2114C">
        <w:rPr>
          <w:b/>
        </w:rPr>
        <w:t xml:space="preserve"> </w:t>
      </w:r>
    </w:p>
    <w:p w14:paraId="3FBCA191" w14:textId="2B74247B" w:rsidR="00670C79" w:rsidRDefault="00670C79" w:rsidP="0064057C">
      <w:pPr>
        <w:spacing w:line="276" w:lineRule="auto"/>
        <w:ind w:left="180" w:firstLine="540"/>
        <w:rPr>
          <w:b/>
        </w:rPr>
      </w:pPr>
      <w:r w:rsidRPr="00A2114C">
        <w:rPr>
          <w:b/>
        </w:rPr>
        <w:t xml:space="preserve">Măsuri </w:t>
      </w:r>
      <w:r w:rsidR="0053566B" w:rsidRPr="00A2114C">
        <w:rPr>
          <w:b/>
        </w:rPr>
        <w:t>privind</w:t>
      </w:r>
      <w:r w:rsidRPr="00A2114C">
        <w:rPr>
          <w:b/>
        </w:rPr>
        <w:t xml:space="preserve"> implementare</w:t>
      </w:r>
      <w:r w:rsidR="0053566B" w:rsidRPr="00A2114C">
        <w:rPr>
          <w:b/>
        </w:rPr>
        <w:t>a, monitorizarea și evaluarea proiectului de act normativ</w:t>
      </w:r>
    </w:p>
    <w:p w14:paraId="21A841DA" w14:textId="77777777" w:rsidR="00BA1894" w:rsidRDefault="00BA1894" w:rsidP="0064057C">
      <w:pPr>
        <w:spacing w:line="276" w:lineRule="auto"/>
        <w:ind w:left="180" w:firstLine="540"/>
        <w:rPr>
          <w:b/>
        </w:rPr>
      </w:pP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2B2AD7" w:rsidRPr="00A2114C" w14:paraId="554BFAFC" w14:textId="77777777" w:rsidTr="009C70FA">
        <w:tc>
          <w:tcPr>
            <w:tcW w:w="10553" w:type="dxa"/>
          </w:tcPr>
          <w:p w14:paraId="560280B7" w14:textId="17EACDBF" w:rsidR="0053566B" w:rsidRPr="00A2114C" w:rsidRDefault="0053566B" w:rsidP="0064057C">
            <w:pPr>
              <w:pStyle w:val="Heading1"/>
              <w:spacing w:line="276" w:lineRule="auto"/>
              <w:jc w:val="both"/>
              <w:rPr>
                <w:b/>
                <w:bCs/>
                <w:sz w:val="24"/>
              </w:rPr>
            </w:pPr>
            <w:r w:rsidRPr="00A2114C">
              <w:rPr>
                <w:b/>
                <w:bCs/>
                <w:sz w:val="24"/>
              </w:rPr>
              <w:t>8.1. Măsuri de punere în aplicare a proiectului de act normativ</w:t>
            </w:r>
          </w:p>
          <w:p w14:paraId="3837F202" w14:textId="183BCADB" w:rsidR="0053566B" w:rsidRPr="00A2114C" w:rsidRDefault="0053566B" w:rsidP="0064057C">
            <w:pPr>
              <w:spacing w:line="276" w:lineRule="auto"/>
            </w:pPr>
            <w:r w:rsidRPr="00A2114C">
              <w:rPr>
                <w:b/>
                <w:bCs/>
              </w:rPr>
              <w:t>8.2. Alte informaţii</w:t>
            </w:r>
          </w:p>
        </w:tc>
      </w:tr>
    </w:tbl>
    <w:p w14:paraId="28A87137" w14:textId="69725DDD" w:rsidR="00C5468F" w:rsidRDefault="00C5468F" w:rsidP="0064057C">
      <w:pPr>
        <w:widowControl w:val="0"/>
        <w:spacing w:line="276" w:lineRule="auto"/>
        <w:jc w:val="both"/>
      </w:pPr>
    </w:p>
    <w:p w14:paraId="5AD3E1BD" w14:textId="77777777" w:rsidR="00BA1894" w:rsidRDefault="00BA1894" w:rsidP="0064057C">
      <w:pPr>
        <w:spacing w:line="276" w:lineRule="auto"/>
        <w:jc w:val="both"/>
      </w:pPr>
    </w:p>
    <w:p w14:paraId="1BFC43C6" w14:textId="77777777" w:rsidR="00BA1894" w:rsidRDefault="00BA1894" w:rsidP="0064057C">
      <w:pPr>
        <w:spacing w:line="276" w:lineRule="auto"/>
        <w:jc w:val="both"/>
      </w:pPr>
    </w:p>
    <w:p w14:paraId="7A5B9C07" w14:textId="77777777" w:rsidR="00BA1894" w:rsidRDefault="00BA1894" w:rsidP="0064057C">
      <w:pPr>
        <w:spacing w:line="276" w:lineRule="auto"/>
        <w:jc w:val="both"/>
      </w:pPr>
    </w:p>
    <w:p w14:paraId="4D31556C" w14:textId="498AE2A9" w:rsidR="005A57E5" w:rsidRPr="00A2114C" w:rsidRDefault="005A57E5" w:rsidP="0064057C">
      <w:pPr>
        <w:spacing w:line="276" w:lineRule="auto"/>
        <w:jc w:val="both"/>
      </w:pPr>
      <w:r w:rsidRPr="00A2114C">
        <w:lastRenderedPageBreak/>
        <w:t xml:space="preserve">Față de cele prezentate mai sus, a fost promovat prezentul proiect de </w:t>
      </w:r>
      <w:r w:rsidRPr="00A2114C">
        <w:rPr>
          <w:b/>
        </w:rPr>
        <w:t xml:space="preserve">Ordonanță </w:t>
      </w:r>
      <w:r w:rsidR="00BA12B3" w:rsidRPr="00A2114C">
        <w:rPr>
          <w:b/>
        </w:rPr>
        <w:t>de urgență</w:t>
      </w:r>
      <w:r w:rsidR="00720DEB">
        <w:rPr>
          <w:b/>
        </w:rPr>
        <w:t xml:space="preserve"> a Guvernului </w:t>
      </w:r>
      <w:r w:rsidR="00720DEB" w:rsidRPr="00A2114C">
        <w:rPr>
          <w:b/>
          <w:bCs/>
        </w:rPr>
        <w:t xml:space="preserve">pentru modificarea și completarea </w:t>
      </w:r>
      <w:r w:rsidR="00720DEB" w:rsidRPr="00A2114C">
        <w:rPr>
          <w:rStyle w:val="sden1"/>
          <w:rFonts w:ascii="Times New Roman" w:hAnsi="Times New Roman"/>
          <w:color w:val="auto"/>
          <w:sz w:val="24"/>
          <w:szCs w:val="24"/>
          <w:specVanish w:val="0"/>
        </w:rPr>
        <w:t xml:space="preserve">Ordonanţei de </w:t>
      </w:r>
      <w:r w:rsidR="00157CFC">
        <w:rPr>
          <w:rStyle w:val="sden1"/>
          <w:rFonts w:ascii="Times New Roman" w:hAnsi="Times New Roman"/>
          <w:color w:val="auto"/>
          <w:sz w:val="24"/>
          <w:szCs w:val="24"/>
          <w:specVanish w:val="0"/>
        </w:rPr>
        <w:t>u</w:t>
      </w:r>
      <w:r w:rsidR="00720DEB" w:rsidRPr="00A2114C">
        <w:rPr>
          <w:rStyle w:val="sden1"/>
          <w:rFonts w:ascii="Times New Roman" w:hAnsi="Times New Roman"/>
          <w:color w:val="auto"/>
          <w:sz w:val="24"/>
          <w:szCs w:val="24"/>
          <w:specVanish w:val="0"/>
        </w:rPr>
        <w:t xml:space="preserve">rgenţă a Guvernului nr. 124/2021 </w:t>
      </w:r>
      <w:r w:rsidR="00720DEB" w:rsidRPr="00A2114C">
        <w:rPr>
          <w:b/>
        </w:rPr>
        <w:t xml:space="preserve">privind stabilirea cadrului instituţional şi financiar pentru gestionarea fondurilor europene alocate României prin Mecanismul de redresare şi rezilienţă, precum şi pentru modificarea şi completarea </w:t>
      </w:r>
      <w:r w:rsidR="00720DEB" w:rsidRPr="00A2114C">
        <w:rPr>
          <w:b/>
          <w:shd w:val="clear" w:color="auto" w:fill="FFFFFF"/>
        </w:rPr>
        <w:t>Ordonanţei de urgenţă a Guvernului nr. 155/2020</w:t>
      </w:r>
      <w:r w:rsidR="00720DEB" w:rsidRPr="00A2114C">
        <w:rPr>
          <w:b/>
        </w:rPr>
        <w:t xml:space="preserve"> privind unele măsuri pentru elaborarea Planului naţional de redresare şi rezilienţă necesar României pentru accesarea de fonduri externe rambursabile şi nerambursabile în cadrul Mecanismului de redresare şi rezilienţă</w:t>
      </w:r>
      <w:r w:rsidR="00720DEB">
        <w:rPr>
          <w:b/>
        </w:rPr>
        <w:t xml:space="preserve">, </w:t>
      </w:r>
      <w:r w:rsidRPr="00A2114C">
        <w:t>în forma prezentată, a fost avizată de ministerele interesate și pe care o supunem adoptării.</w:t>
      </w:r>
    </w:p>
    <w:p w14:paraId="78A6DC82" w14:textId="77777777" w:rsidR="005A57E5" w:rsidRPr="00A2114C" w:rsidRDefault="005A57E5" w:rsidP="0064057C">
      <w:pPr>
        <w:spacing w:line="276" w:lineRule="auto"/>
        <w:ind w:left="-709" w:right="-450"/>
        <w:jc w:val="both"/>
      </w:pPr>
    </w:p>
    <w:p w14:paraId="1505D125" w14:textId="77777777" w:rsidR="005A57E5" w:rsidRPr="00A2114C" w:rsidRDefault="005A57E5" w:rsidP="0064057C">
      <w:pPr>
        <w:spacing w:line="276" w:lineRule="auto"/>
        <w:ind w:right="-450"/>
        <w:jc w:val="both"/>
      </w:pPr>
    </w:p>
    <w:p w14:paraId="1B353151" w14:textId="77777777" w:rsidR="005A57E5" w:rsidRPr="00A2114C" w:rsidRDefault="005A57E5" w:rsidP="0064057C">
      <w:pPr>
        <w:spacing w:line="276" w:lineRule="auto"/>
        <w:jc w:val="center"/>
        <w:rPr>
          <w:b/>
          <w:lang w:eastAsia="en-GB"/>
        </w:rPr>
      </w:pPr>
      <w:r w:rsidRPr="00A2114C">
        <w:rPr>
          <w:b/>
          <w:lang w:eastAsia="en-GB"/>
        </w:rPr>
        <w:t>MINISTRUL INVESTIȚIILOR ȘI PROIECTELOR EUROPENE</w:t>
      </w:r>
    </w:p>
    <w:p w14:paraId="62B19EBB" w14:textId="3266304A" w:rsidR="005A57E5" w:rsidRPr="00A2114C" w:rsidRDefault="00157CFC" w:rsidP="0064057C">
      <w:pPr>
        <w:spacing w:line="276" w:lineRule="auto"/>
        <w:jc w:val="center"/>
        <w:rPr>
          <w:b/>
          <w:lang w:eastAsia="en-GB"/>
        </w:rPr>
      </w:pPr>
      <w:r w:rsidRPr="00A2114C">
        <w:rPr>
          <w:b/>
          <w:lang w:eastAsia="en-GB"/>
        </w:rPr>
        <w:t xml:space="preserve">Marcel - Ioan </w:t>
      </w:r>
      <w:r w:rsidR="005A57E5" w:rsidRPr="00A2114C">
        <w:rPr>
          <w:b/>
          <w:lang w:eastAsia="en-GB"/>
        </w:rPr>
        <w:t>BOLOŞ</w:t>
      </w:r>
    </w:p>
    <w:p w14:paraId="53234F83" w14:textId="77777777" w:rsidR="005A57E5" w:rsidRPr="00A2114C" w:rsidRDefault="005A57E5" w:rsidP="0064057C">
      <w:pPr>
        <w:spacing w:line="276" w:lineRule="auto"/>
        <w:jc w:val="both"/>
        <w:rPr>
          <w:b/>
          <w:lang w:eastAsia="en-GB"/>
        </w:rPr>
      </w:pPr>
    </w:p>
    <w:p w14:paraId="0CAE3DCB" w14:textId="77777777" w:rsidR="005A57E5" w:rsidRPr="00A2114C" w:rsidRDefault="005A57E5" w:rsidP="0064057C">
      <w:pPr>
        <w:spacing w:line="276" w:lineRule="auto"/>
        <w:jc w:val="both"/>
        <w:rPr>
          <w:b/>
          <w:lang w:eastAsia="en-GB"/>
        </w:rPr>
      </w:pPr>
    </w:p>
    <w:p w14:paraId="13854920" w14:textId="77777777" w:rsidR="005A57E5" w:rsidRPr="00A2114C" w:rsidRDefault="005A57E5" w:rsidP="0064057C">
      <w:pPr>
        <w:spacing w:line="276" w:lineRule="auto"/>
        <w:ind w:firstLine="709"/>
        <w:jc w:val="center"/>
        <w:rPr>
          <w:b/>
          <w:lang w:eastAsia="en-GB"/>
        </w:rPr>
      </w:pPr>
    </w:p>
    <w:p w14:paraId="7B5302D3" w14:textId="02535325" w:rsidR="005A57E5" w:rsidRDefault="005A57E5" w:rsidP="00C37613">
      <w:pPr>
        <w:spacing w:line="276" w:lineRule="auto"/>
        <w:jc w:val="center"/>
        <w:rPr>
          <w:b/>
          <w:lang w:eastAsia="en-GB"/>
        </w:rPr>
      </w:pPr>
      <w:r w:rsidRPr="00A2114C">
        <w:rPr>
          <w:b/>
          <w:lang w:eastAsia="en-GB"/>
        </w:rPr>
        <w:t>AVIZĂM :</w:t>
      </w:r>
    </w:p>
    <w:p w14:paraId="51A96D69" w14:textId="6BD72D1C" w:rsidR="00C37613" w:rsidRDefault="00C37613" w:rsidP="0064057C">
      <w:pPr>
        <w:spacing w:line="276" w:lineRule="auto"/>
        <w:ind w:firstLine="709"/>
        <w:jc w:val="center"/>
        <w:rPr>
          <w:b/>
          <w:lang w:eastAsia="en-GB"/>
        </w:rPr>
      </w:pPr>
    </w:p>
    <w:p w14:paraId="7D0CDB87" w14:textId="77777777" w:rsidR="00C37613" w:rsidRPr="00A2114C" w:rsidRDefault="00C37613" w:rsidP="00C37613">
      <w:pPr>
        <w:spacing w:line="276" w:lineRule="auto"/>
        <w:jc w:val="center"/>
        <w:rPr>
          <w:rFonts w:eastAsia="Calibri"/>
          <w:b/>
        </w:rPr>
      </w:pPr>
      <w:r w:rsidRPr="00A2114C">
        <w:rPr>
          <w:rFonts w:eastAsia="Calibri"/>
          <w:b/>
        </w:rPr>
        <w:t>VICEPRIM - MINISTRU</w:t>
      </w:r>
    </w:p>
    <w:p w14:paraId="714ED602" w14:textId="77777777" w:rsidR="00C37613" w:rsidRPr="00A2114C" w:rsidRDefault="00C37613" w:rsidP="00C37613">
      <w:pPr>
        <w:spacing w:line="276" w:lineRule="auto"/>
        <w:jc w:val="center"/>
        <w:rPr>
          <w:rFonts w:eastAsia="Calibri"/>
          <w:b/>
        </w:rPr>
      </w:pPr>
      <w:r w:rsidRPr="00A2114C">
        <w:rPr>
          <w:rFonts w:eastAsia="Calibri"/>
          <w:b/>
        </w:rPr>
        <w:t>MINISTRUL TRANSPORTURILOR ȘI INFRASTRUCTURII</w:t>
      </w:r>
    </w:p>
    <w:p w14:paraId="7874F040" w14:textId="77777777" w:rsidR="00C37613" w:rsidRPr="00A2114C" w:rsidRDefault="00C37613" w:rsidP="00C37613">
      <w:pPr>
        <w:spacing w:line="276" w:lineRule="auto"/>
        <w:jc w:val="center"/>
        <w:rPr>
          <w:rFonts w:eastAsia="Calibri"/>
          <w:b/>
        </w:rPr>
      </w:pPr>
    </w:p>
    <w:p w14:paraId="3931CC40" w14:textId="77777777" w:rsidR="00C37613" w:rsidRPr="00A2114C" w:rsidRDefault="00C37613" w:rsidP="00C37613">
      <w:pPr>
        <w:spacing w:line="276" w:lineRule="auto"/>
        <w:jc w:val="center"/>
        <w:rPr>
          <w:rFonts w:eastAsia="Calibri"/>
          <w:b/>
        </w:rPr>
      </w:pPr>
      <w:r w:rsidRPr="00A2114C">
        <w:rPr>
          <w:rFonts w:eastAsia="Calibri"/>
          <w:b/>
        </w:rPr>
        <w:t>Sorin Mihai GRINDEANU</w:t>
      </w:r>
    </w:p>
    <w:p w14:paraId="38EA8575" w14:textId="180E9DC4" w:rsidR="00C37613" w:rsidRDefault="00C37613" w:rsidP="0064057C">
      <w:pPr>
        <w:spacing w:line="276" w:lineRule="auto"/>
        <w:ind w:firstLine="709"/>
        <w:jc w:val="center"/>
        <w:rPr>
          <w:b/>
          <w:lang w:eastAsia="en-GB"/>
        </w:rPr>
      </w:pPr>
    </w:p>
    <w:p w14:paraId="3AA04D51" w14:textId="77777777" w:rsidR="005A57E5" w:rsidRPr="00A2114C" w:rsidRDefault="005A57E5" w:rsidP="0064057C">
      <w:pPr>
        <w:spacing w:line="276" w:lineRule="auto"/>
        <w:ind w:firstLine="709"/>
        <w:jc w:val="center"/>
        <w:rPr>
          <w:b/>
          <w:lang w:eastAsia="en-GB"/>
        </w:rPr>
      </w:pPr>
    </w:p>
    <w:p w14:paraId="07A5BAA6" w14:textId="77777777" w:rsidR="005A57E5" w:rsidRPr="00A2114C" w:rsidRDefault="005A57E5" w:rsidP="0064057C">
      <w:pPr>
        <w:spacing w:line="276" w:lineRule="auto"/>
        <w:rPr>
          <w:b/>
          <w:lang w:eastAsia="en-GB"/>
        </w:rPr>
      </w:pPr>
    </w:p>
    <w:tbl>
      <w:tblPr>
        <w:tblW w:w="10615" w:type="dxa"/>
        <w:tblLook w:val="04A0" w:firstRow="1" w:lastRow="0" w:firstColumn="1" w:lastColumn="0" w:noHBand="0" w:noVBand="1"/>
      </w:tblPr>
      <w:tblGrid>
        <w:gridCol w:w="5485"/>
        <w:gridCol w:w="5130"/>
      </w:tblGrid>
      <w:tr w:rsidR="002B2AD7" w:rsidRPr="00A2114C" w14:paraId="43DC3AD7" w14:textId="77777777" w:rsidTr="0064057C">
        <w:tc>
          <w:tcPr>
            <w:tcW w:w="5485" w:type="dxa"/>
            <w:shd w:val="clear" w:color="auto" w:fill="auto"/>
          </w:tcPr>
          <w:p w14:paraId="7E263CEF" w14:textId="1BEBC4B7" w:rsidR="00157CFC" w:rsidRPr="00A2114C" w:rsidRDefault="00157CFC" w:rsidP="0064057C">
            <w:pPr>
              <w:spacing w:line="276" w:lineRule="auto"/>
              <w:jc w:val="center"/>
              <w:rPr>
                <w:rStyle w:val="ssmnpar"/>
                <w:b/>
              </w:rPr>
            </w:pPr>
            <w:r w:rsidRPr="00A2114C">
              <w:rPr>
                <w:rStyle w:val="ssmnpar"/>
                <w:b/>
              </w:rPr>
              <w:t>MINISTRUL CULTURII</w:t>
            </w:r>
            <w:r w:rsidRPr="00A2114C">
              <w:rPr>
                <w:b/>
              </w:rPr>
              <w:br/>
            </w:r>
          </w:p>
          <w:p w14:paraId="1BFCA8F1" w14:textId="77777777" w:rsidR="00157CFC" w:rsidRPr="00A2114C" w:rsidRDefault="00157CFC" w:rsidP="0064057C">
            <w:pPr>
              <w:spacing w:line="276" w:lineRule="auto"/>
              <w:jc w:val="center"/>
              <w:rPr>
                <w:rStyle w:val="ssmnpar"/>
                <w:b/>
              </w:rPr>
            </w:pPr>
            <w:r w:rsidRPr="00A2114C">
              <w:rPr>
                <w:rStyle w:val="ssmnpar"/>
                <w:b/>
              </w:rPr>
              <w:t>LUCIAN ROMAŞCANU</w:t>
            </w:r>
          </w:p>
          <w:p w14:paraId="0C413654" w14:textId="77777777" w:rsidR="005A57E5" w:rsidRPr="00A2114C" w:rsidRDefault="005A57E5" w:rsidP="0064057C">
            <w:pPr>
              <w:spacing w:line="276" w:lineRule="auto"/>
              <w:jc w:val="center"/>
              <w:rPr>
                <w:rFonts w:eastAsia="Calibri"/>
              </w:rPr>
            </w:pPr>
          </w:p>
        </w:tc>
        <w:tc>
          <w:tcPr>
            <w:tcW w:w="5130" w:type="dxa"/>
            <w:shd w:val="clear" w:color="auto" w:fill="auto"/>
          </w:tcPr>
          <w:p w14:paraId="30C2A52A" w14:textId="77777777" w:rsidR="001B22B4" w:rsidRPr="00A2114C" w:rsidRDefault="001B22B4" w:rsidP="0064057C">
            <w:pPr>
              <w:spacing w:line="276" w:lineRule="auto"/>
              <w:jc w:val="center"/>
              <w:rPr>
                <w:rFonts w:eastAsia="Calibri"/>
                <w:b/>
              </w:rPr>
            </w:pPr>
            <w:r w:rsidRPr="00A2114C">
              <w:rPr>
                <w:rFonts w:eastAsia="Calibri"/>
                <w:b/>
              </w:rPr>
              <w:t>MINISTRUL</w:t>
            </w:r>
            <w:r w:rsidRPr="00A2114C">
              <w:rPr>
                <w:rFonts w:eastAsia="Calibri"/>
              </w:rPr>
              <w:t xml:space="preserve"> </w:t>
            </w:r>
            <w:r w:rsidRPr="00A2114C">
              <w:rPr>
                <w:rFonts w:eastAsia="Calibri"/>
                <w:b/>
              </w:rPr>
              <w:t>DEZVOLTĂRII, LUCRĂRILOR PUBLICE ȘI ADMINISTRAȚIEI</w:t>
            </w:r>
          </w:p>
          <w:p w14:paraId="36470038" w14:textId="77777777" w:rsidR="001B22B4" w:rsidRPr="00A2114C" w:rsidRDefault="001B22B4" w:rsidP="0064057C">
            <w:pPr>
              <w:spacing w:line="276" w:lineRule="auto"/>
              <w:jc w:val="center"/>
              <w:rPr>
                <w:rFonts w:eastAsia="Calibri"/>
                <w:b/>
              </w:rPr>
            </w:pPr>
          </w:p>
          <w:p w14:paraId="3CCDF27B" w14:textId="5CE03484" w:rsidR="005A57E5" w:rsidRPr="00A2114C" w:rsidRDefault="001B22B4" w:rsidP="0064057C">
            <w:pPr>
              <w:spacing w:line="276" w:lineRule="auto"/>
              <w:jc w:val="center"/>
              <w:rPr>
                <w:rFonts w:eastAsia="Calibri"/>
                <w:b/>
              </w:rPr>
            </w:pPr>
            <w:r w:rsidRPr="00A2114C">
              <w:rPr>
                <w:rFonts w:eastAsia="Calibri"/>
                <w:b/>
                <w:bCs/>
              </w:rPr>
              <w:t>CSEKE Attila-Zoltán</w:t>
            </w:r>
          </w:p>
        </w:tc>
      </w:tr>
      <w:tr w:rsidR="002B2AD7" w:rsidRPr="00A2114C" w14:paraId="0B7BAEBA" w14:textId="77777777" w:rsidTr="00711E14">
        <w:tc>
          <w:tcPr>
            <w:tcW w:w="5485" w:type="dxa"/>
            <w:shd w:val="clear" w:color="auto" w:fill="auto"/>
          </w:tcPr>
          <w:p w14:paraId="063F55E3" w14:textId="77777777" w:rsidR="00520E32" w:rsidRDefault="00520E32" w:rsidP="0064057C">
            <w:pPr>
              <w:spacing w:line="276" w:lineRule="auto"/>
              <w:jc w:val="center"/>
              <w:rPr>
                <w:rStyle w:val="ssmnpar"/>
                <w:b/>
              </w:rPr>
            </w:pPr>
          </w:p>
          <w:p w14:paraId="62644E6B" w14:textId="77777777" w:rsidR="00520E32" w:rsidRDefault="00520E32" w:rsidP="0064057C">
            <w:pPr>
              <w:spacing w:line="276" w:lineRule="auto"/>
              <w:jc w:val="center"/>
              <w:rPr>
                <w:rStyle w:val="ssmnpar"/>
                <w:b/>
              </w:rPr>
            </w:pPr>
          </w:p>
          <w:p w14:paraId="5BD5ABD4" w14:textId="08CBCA6B" w:rsidR="00520E32" w:rsidRPr="00A2114C" w:rsidRDefault="00520E32" w:rsidP="0064057C">
            <w:pPr>
              <w:spacing w:line="276" w:lineRule="auto"/>
              <w:jc w:val="center"/>
              <w:rPr>
                <w:rStyle w:val="ssmnpar"/>
                <w:b/>
              </w:rPr>
            </w:pPr>
            <w:r w:rsidRPr="00A2114C">
              <w:rPr>
                <w:rStyle w:val="ssmnpar"/>
                <w:b/>
              </w:rPr>
              <w:t>SECRETARUL GENERAL AL GUVERNULUI</w:t>
            </w:r>
            <w:r w:rsidRPr="00A2114C">
              <w:rPr>
                <w:b/>
              </w:rPr>
              <w:br/>
            </w:r>
          </w:p>
          <w:p w14:paraId="2F2DD562" w14:textId="77777777" w:rsidR="00520E32" w:rsidRPr="00A2114C" w:rsidRDefault="00520E32" w:rsidP="0064057C">
            <w:pPr>
              <w:spacing w:line="276" w:lineRule="auto"/>
              <w:jc w:val="center"/>
              <w:rPr>
                <w:rStyle w:val="ssmnpar"/>
                <w:b/>
              </w:rPr>
            </w:pPr>
            <w:r w:rsidRPr="00A2114C">
              <w:rPr>
                <w:rStyle w:val="ssmnpar"/>
                <w:b/>
              </w:rPr>
              <w:t>MARIAN NEACŞU</w:t>
            </w:r>
          </w:p>
          <w:p w14:paraId="72CA21FE" w14:textId="77777777" w:rsidR="005A57E5" w:rsidRPr="00A2114C" w:rsidRDefault="005A57E5" w:rsidP="0064057C">
            <w:pPr>
              <w:spacing w:line="276" w:lineRule="auto"/>
              <w:jc w:val="center"/>
              <w:rPr>
                <w:rFonts w:eastAsia="Calibri"/>
                <w:b/>
              </w:rPr>
            </w:pPr>
          </w:p>
        </w:tc>
        <w:tc>
          <w:tcPr>
            <w:tcW w:w="5130" w:type="dxa"/>
            <w:shd w:val="clear" w:color="auto" w:fill="auto"/>
          </w:tcPr>
          <w:p w14:paraId="2FB89C3E" w14:textId="77777777" w:rsidR="00520E32" w:rsidRDefault="00520E32" w:rsidP="0064057C">
            <w:pPr>
              <w:spacing w:line="276" w:lineRule="auto"/>
              <w:jc w:val="center"/>
              <w:rPr>
                <w:rStyle w:val="ssmnpar"/>
                <w:b/>
              </w:rPr>
            </w:pPr>
          </w:p>
          <w:p w14:paraId="48832B30" w14:textId="77777777" w:rsidR="00520E32" w:rsidRDefault="00520E32" w:rsidP="0064057C">
            <w:pPr>
              <w:spacing w:line="276" w:lineRule="auto"/>
              <w:jc w:val="center"/>
              <w:rPr>
                <w:rStyle w:val="ssmnpar"/>
                <w:b/>
              </w:rPr>
            </w:pPr>
          </w:p>
          <w:p w14:paraId="1FA4E364" w14:textId="3B9C9D23" w:rsidR="00157CFC" w:rsidRPr="00A2114C" w:rsidRDefault="00157CFC" w:rsidP="0064057C">
            <w:pPr>
              <w:spacing w:line="276" w:lineRule="auto"/>
              <w:jc w:val="center"/>
              <w:rPr>
                <w:rStyle w:val="ssmnpar"/>
                <w:b/>
              </w:rPr>
            </w:pPr>
            <w:r w:rsidRPr="00A2114C">
              <w:rPr>
                <w:rStyle w:val="ssmnpar"/>
                <w:b/>
              </w:rPr>
              <w:t>MINISTRUL CERCETĂRII, INOVĂRII ŞI DIGITALIZĂRII</w:t>
            </w:r>
          </w:p>
          <w:p w14:paraId="13B43D10" w14:textId="77777777" w:rsidR="00157CFC" w:rsidRPr="00A2114C" w:rsidRDefault="00157CFC" w:rsidP="0064057C">
            <w:pPr>
              <w:spacing w:line="276" w:lineRule="auto"/>
              <w:jc w:val="center"/>
              <w:rPr>
                <w:rFonts w:eastAsia="Calibri"/>
                <w:b/>
              </w:rPr>
            </w:pPr>
          </w:p>
          <w:p w14:paraId="0497381A" w14:textId="0A4D371E" w:rsidR="00157CFC" w:rsidRDefault="00157CFC" w:rsidP="0064057C">
            <w:pPr>
              <w:spacing w:line="276" w:lineRule="auto"/>
              <w:jc w:val="center"/>
              <w:rPr>
                <w:rFonts w:eastAsia="Calibri"/>
                <w:b/>
              </w:rPr>
            </w:pPr>
            <w:r w:rsidRPr="00A2114C">
              <w:rPr>
                <w:rFonts w:eastAsia="Calibri"/>
                <w:b/>
              </w:rPr>
              <w:t>SEBASTIAN-IOAN BURDUJA</w:t>
            </w:r>
          </w:p>
          <w:p w14:paraId="4F482881" w14:textId="77777777" w:rsidR="0064057C" w:rsidRPr="00A2114C" w:rsidRDefault="0064057C" w:rsidP="0064057C">
            <w:pPr>
              <w:spacing w:line="276" w:lineRule="auto"/>
              <w:jc w:val="center"/>
              <w:rPr>
                <w:rFonts w:eastAsia="Calibri"/>
                <w:b/>
              </w:rPr>
            </w:pPr>
          </w:p>
          <w:p w14:paraId="4F870FF3" w14:textId="77777777" w:rsidR="005A57E5" w:rsidRPr="00A2114C" w:rsidRDefault="005A57E5" w:rsidP="0064057C">
            <w:pPr>
              <w:spacing w:line="276" w:lineRule="auto"/>
              <w:jc w:val="center"/>
              <w:rPr>
                <w:rFonts w:eastAsia="Calibri"/>
                <w:b/>
              </w:rPr>
            </w:pPr>
          </w:p>
        </w:tc>
      </w:tr>
      <w:tr w:rsidR="002B2AD7" w:rsidRPr="00A2114C" w14:paraId="2C23B4F0" w14:textId="77777777" w:rsidTr="0064057C">
        <w:tc>
          <w:tcPr>
            <w:tcW w:w="5485" w:type="dxa"/>
            <w:shd w:val="clear" w:color="auto" w:fill="auto"/>
          </w:tcPr>
          <w:p w14:paraId="1A50EBEB" w14:textId="77777777" w:rsidR="00520E32" w:rsidRDefault="00520E32" w:rsidP="0064057C">
            <w:pPr>
              <w:spacing w:line="276" w:lineRule="auto"/>
              <w:jc w:val="center"/>
              <w:rPr>
                <w:rStyle w:val="ssmnpar"/>
                <w:b/>
              </w:rPr>
            </w:pPr>
          </w:p>
          <w:p w14:paraId="6DF1D0D3" w14:textId="3F0EC3E9" w:rsidR="00520E32" w:rsidRPr="00A2114C" w:rsidRDefault="00520E32" w:rsidP="0064057C">
            <w:pPr>
              <w:spacing w:line="276" w:lineRule="auto"/>
              <w:jc w:val="center"/>
              <w:rPr>
                <w:rStyle w:val="ssmnpar"/>
              </w:rPr>
            </w:pPr>
            <w:r w:rsidRPr="00A2114C">
              <w:rPr>
                <w:rStyle w:val="ssmnpar"/>
                <w:b/>
              </w:rPr>
              <w:t>MINISTRUL ENERGIEI</w:t>
            </w:r>
            <w:r w:rsidRPr="00A2114C">
              <w:rPr>
                <w:b/>
              </w:rPr>
              <w:br/>
            </w:r>
          </w:p>
          <w:p w14:paraId="756D2012" w14:textId="77777777" w:rsidR="005A57E5" w:rsidRDefault="00520E32" w:rsidP="0064057C">
            <w:pPr>
              <w:spacing w:line="276" w:lineRule="auto"/>
              <w:jc w:val="center"/>
              <w:rPr>
                <w:rStyle w:val="ssmnpar"/>
                <w:b/>
              </w:rPr>
            </w:pPr>
            <w:r w:rsidRPr="00A2114C">
              <w:rPr>
                <w:rStyle w:val="ssmnpar"/>
                <w:b/>
              </w:rPr>
              <w:t>VIRGIL-DANIEL POPESCU</w:t>
            </w:r>
          </w:p>
          <w:p w14:paraId="1AFE287B" w14:textId="72587AE1" w:rsidR="00711E14" w:rsidRPr="00A2114C" w:rsidRDefault="00711E14" w:rsidP="0064057C">
            <w:pPr>
              <w:spacing w:line="276" w:lineRule="auto"/>
              <w:jc w:val="center"/>
              <w:rPr>
                <w:rFonts w:eastAsia="Calibri"/>
                <w:b/>
              </w:rPr>
            </w:pPr>
          </w:p>
        </w:tc>
        <w:tc>
          <w:tcPr>
            <w:tcW w:w="5130" w:type="dxa"/>
            <w:shd w:val="clear" w:color="auto" w:fill="auto"/>
          </w:tcPr>
          <w:p w14:paraId="714CE5EC" w14:textId="77777777" w:rsidR="00520E32" w:rsidRDefault="00520E32" w:rsidP="0064057C">
            <w:pPr>
              <w:spacing w:line="276" w:lineRule="auto"/>
              <w:jc w:val="center"/>
              <w:rPr>
                <w:rStyle w:val="ssmnpar"/>
                <w:b/>
              </w:rPr>
            </w:pPr>
          </w:p>
          <w:p w14:paraId="31A0EEC9" w14:textId="42150C00" w:rsidR="00157CFC" w:rsidRPr="00A2114C" w:rsidRDefault="00157CFC" w:rsidP="0064057C">
            <w:pPr>
              <w:spacing w:line="276" w:lineRule="auto"/>
              <w:jc w:val="center"/>
              <w:rPr>
                <w:rStyle w:val="ssmnpar"/>
                <w:b/>
              </w:rPr>
            </w:pPr>
            <w:r w:rsidRPr="00A2114C">
              <w:rPr>
                <w:rStyle w:val="ssmnpar"/>
                <w:b/>
              </w:rPr>
              <w:t>MINISTRUL MUNCII ŞI SOLIDARITĂŢII SOCIALE</w:t>
            </w:r>
            <w:r w:rsidRPr="00A2114C">
              <w:rPr>
                <w:b/>
              </w:rPr>
              <w:br/>
            </w:r>
          </w:p>
          <w:p w14:paraId="7EBCCD7A" w14:textId="3A06CEE9" w:rsidR="005A57E5" w:rsidRPr="00A2114C" w:rsidRDefault="00157CFC" w:rsidP="00711E14">
            <w:pPr>
              <w:spacing w:line="276" w:lineRule="auto"/>
              <w:jc w:val="center"/>
              <w:rPr>
                <w:rFonts w:eastAsia="Calibri"/>
                <w:b/>
              </w:rPr>
            </w:pPr>
            <w:r w:rsidRPr="00A2114C">
              <w:rPr>
                <w:rStyle w:val="ssmnpar"/>
                <w:b/>
              </w:rPr>
              <w:t>MARIUS-CONSTANTIN BUDĂI</w:t>
            </w:r>
          </w:p>
        </w:tc>
      </w:tr>
      <w:tr w:rsidR="00711E14" w:rsidRPr="00A2114C" w14:paraId="6AC58142" w14:textId="77777777" w:rsidTr="00BA1894">
        <w:tc>
          <w:tcPr>
            <w:tcW w:w="10615" w:type="dxa"/>
            <w:gridSpan w:val="2"/>
            <w:shd w:val="clear" w:color="auto" w:fill="auto"/>
          </w:tcPr>
          <w:p w14:paraId="28DE93F7" w14:textId="77777777" w:rsidR="00711E14" w:rsidRDefault="00711E14" w:rsidP="0064057C">
            <w:pPr>
              <w:spacing w:line="276" w:lineRule="auto"/>
              <w:jc w:val="center"/>
              <w:rPr>
                <w:rStyle w:val="ssmnpar"/>
                <w:b/>
              </w:rPr>
            </w:pPr>
          </w:p>
          <w:p w14:paraId="750F37FB" w14:textId="323C873A" w:rsidR="00711E14" w:rsidRDefault="00711E14" w:rsidP="00711E14">
            <w:pPr>
              <w:spacing w:line="276" w:lineRule="auto"/>
              <w:jc w:val="both"/>
            </w:pPr>
            <w:r w:rsidRPr="00A2114C">
              <w:lastRenderedPageBreak/>
              <w:t xml:space="preserve">Față de cele prezentate mai sus, a fost promovat prezentul proiect de </w:t>
            </w:r>
            <w:r w:rsidRPr="00A2114C">
              <w:rPr>
                <w:b/>
              </w:rPr>
              <w:t>Ordonanță de urgență</w:t>
            </w:r>
            <w:r>
              <w:rPr>
                <w:b/>
              </w:rPr>
              <w:t xml:space="preserve"> a Guvernului </w:t>
            </w:r>
            <w:r w:rsidRPr="00A2114C">
              <w:rPr>
                <w:b/>
                <w:bCs/>
              </w:rPr>
              <w:t xml:space="preserve">pentru modificarea și completarea </w:t>
            </w:r>
            <w:r w:rsidRPr="00A2114C">
              <w:rPr>
                <w:rStyle w:val="sden1"/>
                <w:rFonts w:ascii="Times New Roman" w:hAnsi="Times New Roman"/>
                <w:color w:val="auto"/>
                <w:sz w:val="24"/>
                <w:szCs w:val="24"/>
                <w:specVanish w:val="0"/>
              </w:rPr>
              <w:t xml:space="preserve">Ordonanţei de </w:t>
            </w:r>
            <w:r>
              <w:rPr>
                <w:rStyle w:val="sden1"/>
                <w:rFonts w:ascii="Times New Roman" w:hAnsi="Times New Roman"/>
                <w:color w:val="auto"/>
                <w:sz w:val="24"/>
                <w:szCs w:val="24"/>
                <w:specVanish w:val="0"/>
              </w:rPr>
              <w:t>u</w:t>
            </w:r>
            <w:r w:rsidRPr="00A2114C">
              <w:rPr>
                <w:rStyle w:val="sden1"/>
                <w:rFonts w:ascii="Times New Roman" w:hAnsi="Times New Roman"/>
                <w:color w:val="auto"/>
                <w:sz w:val="24"/>
                <w:szCs w:val="24"/>
                <w:specVanish w:val="0"/>
              </w:rPr>
              <w:t xml:space="preserve">rgenţă a Guvernului nr. 124/2021 </w:t>
            </w:r>
            <w:r w:rsidRPr="00A2114C">
              <w:rPr>
                <w:b/>
              </w:rPr>
              <w:t xml:space="preserve">privind stabilirea cadrului instituţional şi financiar pentru gestionarea fondurilor europene alocate României prin Mecanismul de redresare şi rezilienţă, precum şi pentru modificarea şi completarea </w:t>
            </w:r>
            <w:r w:rsidRPr="00A2114C">
              <w:rPr>
                <w:b/>
                <w:shd w:val="clear" w:color="auto" w:fill="FFFFFF"/>
              </w:rPr>
              <w:t>Ordonanţei de urgenţă a Guvernului nr. 155/2020</w:t>
            </w:r>
            <w:r w:rsidRPr="00A2114C">
              <w:rPr>
                <w:b/>
              </w:rPr>
              <w:t xml:space="preserve"> privind unele măsuri pentru elaborarea Planului naţional de redresare şi rezilienţă necesar României pentru accesarea de fonduri externe rambursabile şi nerambursabile în cadrul Mecanismului de redresare şi rezilienţă</w:t>
            </w:r>
            <w:r>
              <w:rPr>
                <w:b/>
              </w:rPr>
              <w:t xml:space="preserve">, </w:t>
            </w:r>
            <w:r w:rsidRPr="00A2114C">
              <w:t>în forma prezentată, a fost avizată de ministerele interesate și pe care o supunem adoptării.</w:t>
            </w:r>
          </w:p>
          <w:p w14:paraId="571C99F4" w14:textId="7F4B1654" w:rsidR="00711E14" w:rsidRDefault="00711E14" w:rsidP="00711E14">
            <w:pPr>
              <w:spacing w:line="276" w:lineRule="auto"/>
              <w:jc w:val="both"/>
            </w:pPr>
          </w:p>
          <w:p w14:paraId="7EA49BE8" w14:textId="77777777" w:rsidR="00711E14" w:rsidRPr="00A2114C" w:rsidRDefault="00711E14" w:rsidP="00711E14">
            <w:pPr>
              <w:spacing w:line="276" w:lineRule="auto"/>
              <w:jc w:val="both"/>
            </w:pPr>
          </w:p>
          <w:p w14:paraId="6254D03C" w14:textId="77777777" w:rsidR="00711E14" w:rsidRDefault="00711E14" w:rsidP="0064057C">
            <w:pPr>
              <w:spacing w:line="276" w:lineRule="auto"/>
              <w:jc w:val="center"/>
              <w:rPr>
                <w:rStyle w:val="ssmnpar"/>
                <w:b/>
              </w:rPr>
            </w:pPr>
          </w:p>
        </w:tc>
      </w:tr>
      <w:tr w:rsidR="002B2AD7" w:rsidRPr="00A2114C" w14:paraId="06102E36" w14:textId="77777777" w:rsidTr="0064057C">
        <w:tc>
          <w:tcPr>
            <w:tcW w:w="5485" w:type="dxa"/>
            <w:shd w:val="clear" w:color="auto" w:fill="auto"/>
          </w:tcPr>
          <w:p w14:paraId="0F7F6582" w14:textId="77777777" w:rsidR="00157CFC" w:rsidRPr="00A2114C" w:rsidRDefault="00157CFC" w:rsidP="0064057C">
            <w:pPr>
              <w:spacing w:line="276" w:lineRule="auto"/>
              <w:jc w:val="center"/>
              <w:rPr>
                <w:rFonts w:eastAsia="Calibri"/>
                <w:b/>
              </w:rPr>
            </w:pPr>
            <w:r w:rsidRPr="00A2114C">
              <w:rPr>
                <w:rFonts w:eastAsia="Calibri"/>
                <w:b/>
              </w:rPr>
              <w:lastRenderedPageBreak/>
              <w:t>MINISTRUL EDUCAȚIEI</w:t>
            </w:r>
          </w:p>
          <w:p w14:paraId="2565E16D" w14:textId="77777777" w:rsidR="00157CFC" w:rsidRPr="00A2114C" w:rsidRDefault="00157CFC" w:rsidP="0064057C">
            <w:pPr>
              <w:spacing w:line="276" w:lineRule="auto"/>
              <w:rPr>
                <w:rFonts w:eastAsia="Calibri"/>
                <w:b/>
              </w:rPr>
            </w:pPr>
          </w:p>
          <w:p w14:paraId="5085EB16" w14:textId="77777777" w:rsidR="00157CFC" w:rsidRPr="00A2114C" w:rsidRDefault="00157CFC" w:rsidP="0064057C">
            <w:pPr>
              <w:spacing w:line="276" w:lineRule="auto"/>
              <w:jc w:val="center"/>
              <w:rPr>
                <w:rFonts w:eastAsia="Calibri"/>
                <w:b/>
              </w:rPr>
            </w:pPr>
            <w:r w:rsidRPr="00A2114C">
              <w:rPr>
                <w:rFonts w:eastAsia="Calibri"/>
                <w:b/>
              </w:rPr>
              <w:t>LIGIA DECA</w:t>
            </w:r>
          </w:p>
          <w:p w14:paraId="70E124B1" w14:textId="77777777" w:rsidR="005A57E5" w:rsidRPr="00A2114C" w:rsidRDefault="005A57E5" w:rsidP="0064057C">
            <w:pPr>
              <w:spacing w:line="276" w:lineRule="auto"/>
              <w:jc w:val="center"/>
              <w:rPr>
                <w:rFonts w:eastAsia="Calibri"/>
                <w:b/>
              </w:rPr>
            </w:pPr>
          </w:p>
        </w:tc>
        <w:tc>
          <w:tcPr>
            <w:tcW w:w="5130" w:type="dxa"/>
            <w:shd w:val="clear" w:color="auto" w:fill="auto"/>
          </w:tcPr>
          <w:p w14:paraId="56031D99" w14:textId="1BEB4ED3" w:rsidR="00520E32" w:rsidRPr="00A2114C" w:rsidRDefault="00520E32" w:rsidP="0064057C">
            <w:pPr>
              <w:spacing w:line="276" w:lineRule="auto"/>
              <w:jc w:val="center"/>
              <w:rPr>
                <w:rFonts w:eastAsia="Calibri"/>
                <w:b/>
              </w:rPr>
            </w:pPr>
            <w:r w:rsidRPr="00A2114C">
              <w:rPr>
                <w:rFonts w:eastAsia="Calibri"/>
                <w:b/>
              </w:rPr>
              <w:t>MINISTRUL SĂNĂTĂȚII</w:t>
            </w:r>
          </w:p>
          <w:p w14:paraId="5093651A" w14:textId="77777777" w:rsidR="00520E32" w:rsidRPr="00A2114C" w:rsidRDefault="00520E32" w:rsidP="0064057C">
            <w:pPr>
              <w:spacing w:line="276" w:lineRule="auto"/>
              <w:jc w:val="center"/>
              <w:rPr>
                <w:rFonts w:eastAsia="Calibri"/>
                <w:b/>
              </w:rPr>
            </w:pPr>
          </w:p>
          <w:p w14:paraId="419A6D36" w14:textId="77777777" w:rsidR="00520E32" w:rsidRPr="00A2114C" w:rsidRDefault="00520E32" w:rsidP="0064057C">
            <w:pPr>
              <w:spacing w:line="276" w:lineRule="auto"/>
              <w:jc w:val="center"/>
              <w:rPr>
                <w:rFonts w:eastAsia="Calibri"/>
                <w:b/>
              </w:rPr>
            </w:pPr>
            <w:r w:rsidRPr="00A2114C">
              <w:rPr>
                <w:rFonts w:eastAsia="Calibri"/>
                <w:b/>
              </w:rPr>
              <w:t>ALEXANDRU RAFILA</w:t>
            </w:r>
          </w:p>
          <w:p w14:paraId="08497B69" w14:textId="77777777" w:rsidR="005A57E5" w:rsidRPr="00A2114C" w:rsidRDefault="005A57E5" w:rsidP="0064057C">
            <w:pPr>
              <w:spacing w:line="276" w:lineRule="auto"/>
              <w:jc w:val="center"/>
              <w:rPr>
                <w:rFonts w:eastAsia="Calibri"/>
                <w:b/>
              </w:rPr>
            </w:pPr>
          </w:p>
        </w:tc>
      </w:tr>
      <w:tr w:rsidR="002B2AD7" w:rsidRPr="00A2114C" w14:paraId="7DDE4441" w14:textId="77777777" w:rsidTr="0064057C">
        <w:tc>
          <w:tcPr>
            <w:tcW w:w="5485" w:type="dxa"/>
            <w:shd w:val="clear" w:color="auto" w:fill="auto"/>
          </w:tcPr>
          <w:p w14:paraId="66CEFD04" w14:textId="77777777" w:rsidR="00B46951" w:rsidRPr="00A2114C" w:rsidRDefault="00B46951" w:rsidP="0064057C">
            <w:pPr>
              <w:spacing w:line="276" w:lineRule="auto"/>
              <w:jc w:val="center"/>
              <w:rPr>
                <w:rFonts w:eastAsia="Calibri"/>
                <w:b/>
              </w:rPr>
            </w:pPr>
          </w:p>
          <w:p w14:paraId="3F11C49A" w14:textId="77777777" w:rsidR="00FC61BC" w:rsidRPr="00A2114C" w:rsidRDefault="00FC61BC" w:rsidP="0064057C">
            <w:pPr>
              <w:spacing w:line="276" w:lineRule="auto"/>
              <w:jc w:val="center"/>
              <w:rPr>
                <w:rFonts w:eastAsia="Calibri"/>
                <w:b/>
              </w:rPr>
            </w:pPr>
          </w:p>
          <w:p w14:paraId="34A473B5" w14:textId="36752D0C" w:rsidR="00157CFC" w:rsidRPr="00A2114C" w:rsidRDefault="00157CFC" w:rsidP="0064057C">
            <w:pPr>
              <w:spacing w:line="276" w:lineRule="auto"/>
              <w:jc w:val="center"/>
              <w:rPr>
                <w:rStyle w:val="ssmnpar"/>
                <w:b/>
              </w:rPr>
            </w:pPr>
            <w:r w:rsidRPr="00A2114C">
              <w:rPr>
                <w:rStyle w:val="ssmnpar"/>
                <w:b/>
              </w:rPr>
              <w:t>MINISTRUL AFACERILOR INTERNE</w:t>
            </w:r>
            <w:r w:rsidRPr="00A2114C">
              <w:rPr>
                <w:b/>
              </w:rPr>
              <w:br/>
            </w:r>
          </w:p>
          <w:p w14:paraId="23F7B249" w14:textId="77777777" w:rsidR="00157CFC" w:rsidRPr="00A2114C" w:rsidRDefault="00157CFC" w:rsidP="0064057C">
            <w:pPr>
              <w:spacing w:line="276" w:lineRule="auto"/>
              <w:jc w:val="center"/>
              <w:rPr>
                <w:rStyle w:val="ssmnpar"/>
                <w:b/>
              </w:rPr>
            </w:pPr>
            <w:r w:rsidRPr="00A2114C">
              <w:rPr>
                <w:rStyle w:val="ssmnpar"/>
                <w:b/>
              </w:rPr>
              <w:t>LUCIAN NICOLAE BODE</w:t>
            </w:r>
          </w:p>
          <w:p w14:paraId="707F5197" w14:textId="77777777" w:rsidR="00157CFC" w:rsidRPr="00A2114C" w:rsidRDefault="00157CFC" w:rsidP="0064057C">
            <w:pPr>
              <w:spacing w:line="276" w:lineRule="auto"/>
              <w:jc w:val="center"/>
              <w:rPr>
                <w:rFonts w:eastAsia="Calibri"/>
                <w:b/>
              </w:rPr>
            </w:pPr>
          </w:p>
          <w:p w14:paraId="35C97089" w14:textId="53E7FE6C" w:rsidR="00FC61BC" w:rsidRPr="00A2114C" w:rsidRDefault="00FC61BC" w:rsidP="0064057C">
            <w:pPr>
              <w:spacing w:line="276" w:lineRule="auto"/>
              <w:jc w:val="center"/>
              <w:rPr>
                <w:rFonts w:eastAsia="Calibri"/>
                <w:b/>
              </w:rPr>
            </w:pPr>
          </w:p>
        </w:tc>
        <w:tc>
          <w:tcPr>
            <w:tcW w:w="5130" w:type="dxa"/>
            <w:shd w:val="clear" w:color="auto" w:fill="auto"/>
          </w:tcPr>
          <w:p w14:paraId="44EE43A8" w14:textId="77777777" w:rsidR="00FC61BC" w:rsidRPr="00A2114C" w:rsidRDefault="00FC61BC" w:rsidP="0064057C">
            <w:pPr>
              <w:spacing w:line="276" w:lineRule="auto"/>
              <w:jc w:val="center"/>
              <w:rPr>
                <w:rFonts w:eastAsia="Calibri"/>
                <w:b/>
              </w:rPr>
            </w:pPr>
          </w:p>
          <w:p w14:paraId="0CF33004" w14:textId="77777777" w:rsidR="00157CFC" w:rsidRDefault="00157CFC" w:rsidP="00157CFC">
            <w:pPr>
              <w:spacing w:line="276" w:lineRule="auto"/>
              <w:jc w:val="center"/>
              <w:rPr>
                <w:rStyle w:val="ssmnpar"/>
                <w:b/>
              </w:rPr>
            </w:pPr>
          </w:p>
          <w:p w14:paraId="283AB987" w14:textId="77777777" w:rsidR="00C37613" w:rsidRDefault="00C37613" w:rsidP="00C37613">
            <w:pPr>
              <w:spacing w:line="276" w:lineRule="auto"/>
              <w:jc w:val="center"/>
              <w:rPr>
                <w:rStyle w:val="ssmnpar"/>
                <w:b/>
              </w:rPr>
            </w:pPr>
            <w:r w:rsidRPr="00A2114C">
              <w:rPr>
                <w:rStyle w:val="ssmnpar"/>
                <w:b/>
              </w:rPr>
              <w:t>MINISTRUL ANTREPRENORIATULUI ŞI TURISMULUI</w:t>
            </w:r>
          </w:p>
          <w:p w14:paraId="666BE796" w14:textId="77777777" w:rsidR="00520E32" w:rsidRPr="00A2114C" w:rsidRDefault="00520E32" w:rsidP="0064057C">
            <w:pPr>
              <w:spacing w:line="276" w:lineRule="auto"/>
              <w:jc w:val="center"/>
              <w:rPr>
                <w:rFonts w:eastAsia="Calibri"/>
                <w:b/>
              </w:rPr>
            </w:pPr>
          </w:p>
          <w:p w14:paraId="26C0C27A" w14:textId="51FA0A6A" w:rsidR="00520E32" w:rsidRPr="00A2114C" w:rsidRDefault="00C37613" w:rsidP="0064057C">
            <w:pPr>
              <w:spacing w:line="276" w:lineRule="auto"/>
              <w:jc w:val="center"/>
              <w:rPr>
                <w:rFonts w:eastAsia="Calibri"/>
                <w:b/>
              </w:rPr>
            </w:pPr>
            <w:r w:rsidRPr="00A2114C">
              <w:rPr>
                <w:rFonts w:eastAsia="Calibri"/>
                <w:b/>
              </w:rPr>
              <w:t>CONSTANTIN-DANIEL CADARIU</w:t>
            </w:r>
          </w:p>
          <w:p w14:paraId="0BEF03FA" w14:textId="6C0F020F" w:rsidR="00FC61BC" w:rsidRPr="00A2114C" w:rsidRDefault="00FC61BC" w:rsidP="0064057C">
            <w:pPr>
              <w:spacing w:line="276" w:lineRule="auto"/>
              <w:rPr>
                <w:rFonts w:eastAsia="Calibri"/>
                <w:b/>
              </w:rPr>
            </w:pPr>
          </w:p>
        </w:tc>
      </w:tr>
      <w:tr w:rsidR="002B2AD7" w:rsidRPr="00A2114C" w14:paraId="5BB64211" w14:textId="77777777" w:rsidTr="0064057C">
        <w:tc>
          <w:tcPr>
            <w:tcW w:w="5485" w:type="dxa"/>
            <w:shd w:val="clear" w:color="auto" w:fill="auto"/>
          </w:tcPr>
          <w:p w14:paraId="0B244D47" w14:textId="16481FDC" w:rsidR="00FC61BC" w:rsidRDefault="00FC61BC" w:rsidP="0064057C">
            <w:pPr>
              <w:spacing w:line="276" w:lineRule="auto"/>
              <w:jc w:val="center"/>
              <w:rPr>
                <w:rFonts w:eastAsia="Calibri"/>
                <w:b/>
              </w:rPr>
            </w:pPr>
          </w:p>
          <w:p w14:paraId="67FAF4EA" w14:textId="77777777" w:rsidR="00C37613" w:rsidRPr="00A2114C" w:rsidRDefault="00C37613" w:rsidP="0064057C">
            <w:pPr>
              <w:spacing w:line="276" w:lineRule="auto"/>
              <w:jc w:val="center"/>
              <w:rPr>
                <w:rFonts w:eastAsia="Calibri"/>
                <w:b/>
              </w:rPr>
            </w:pPr>
          </w:p>
          <w:p w14:paraId="5A1AFDD0" w14:textId="1C88C1BF" w:rsidR="00157CFC" w:rsidRPr="00A2114C" w:rsidRDefault="00157CFC" w:rsidP="0064057C">
            <w:pPr>
              <w:spacing w:line="276" w:lineRule="auto"/>
              <w:jc w:val="center"/>
              <w:rPr>
                <w:rStyle w:val="ssmnpar"/>
                <w:b/>
              </w:rPr>
            </w:pPr>
            <w:r w:rsidRPr="00A2114C">
              <w:rPr>
                <w:rStyle w:val="ssmnpar"/>
                <w:b/>
              </w:rPr>
              <w:t>MINISTRUL MEDIULUI, APELOR ŞI PĂDURILOR</w:t>
            </w:r>
            <w:r w:rsidRPr="00A2114C">
              <w:rPr>
                <w:b/>
              </w:rPr>
              <w:br/>
            </w:r>
          </w:p>
          <w:p w14:paraId="5887FC1D" w14:textId="77777777" w:rsidR="00157CFC" w:rsidRPr="00A2114C" w:rsidRDefault="00157CFC" w:rsidP="0064057C">
            <w:pPr>
              <w:spacing w:line="276" w:lineRule="auto"/>
              <w:jc w:val="center"/>
              <w:rPr>
                <w:rStyle w:val="ssmnpar"/>
                <w:b/>
              </w:rPr>
            </w:pPr>
            <w:r w:rsidRPr="00A2114C">
              <w:rPr>
                <w:rStyle w:val="ssmnpar"/>
                <w:b/>
              </w:rPr>
              <w:t>TÁNCZOS BARNA</w:t>
            </w:r>
          </w:p>
          <w:p w14:paraId="7EA5F7CB" w14:textId="77777777" w:rsidR="00FC61BC" w:rsidRPr="00A2114C" w:rsidRDefault="00FC61BC" w:rsidP="0064057C">
            <w:pPr>
              <w:spacing w:line="276" w:lineRule="auto"/>
              <w:jc w:val="center"/>
              <w:rPr>
                <w:rFonts w:eastAsia="Calibri"/>
                <w:b/>
              </w:rPr>
            </w:pPr>
          </w:p>
          <w:p w14:paraId="2B74D62F" w14:textId="77777777" w:rsidR="00FC61BC" w:rsidRPr="00A2114C" w:rsidRDefault="00FC61BC" w:rsidP="0064057C">
            <w:pPr>
              <w:spacing w:line="276" w:lineRule="auto"/>
              <w:jc w:val="center"/>
              <w:rPr>
                <w:rFonts w:eastAsia="Calibri"/>
                <w:b/>
              </w:rPr>
            </w:pPr>
          </w:p>
          <w:p w14:paraId="1879C139" w14:textId="77777777" w:rsidR="00FC61BC" w:rsidRPr="00A2114C" w:rsidRDefault="00FC61BC" w:rsidP="0064057C">
            <w:pPr>
              <w:spacing w:line="276" w:lineRule="auto"/>
              <w:jc w:val="center"/>
              <w:rPr>
                <w:rStyle w:val="ssmnpar"/>
              </w:rPr>
            </w:pPr>
          </w:p>
          <w:p w14:paraId="23BAC380" w14:textId="778FA578" w:rsidR="00C37613" w:rsidRDefault="00C37613" w:rsidP="00C37613">
            <w:pPr>
              <w:spacing w:line="276" w:lineRule="auto"/>
              <w:jc w:val="center"/>
              <w:rPr>
                <w:rFonts w:eastAsia="Calibri"/>
                <w:b/>
              </w:rPr>
            </w:pPr>
            <w:r w:rsidRPr="00A2114C">
              <w:rPr>
                <w:rFonts w:eastAsia="Calibri"/>
                <w:b/>
              </w:rPr>
              <w:t>MINISTRUL</w:t>
            </w:r>
            <w:r w:rsidRPr="00A2114C">
              <w:rPr>
                <w:rFonts w:eastAsia="Calibri"/>
              </w:rPr>
              <w:t xml:space="preserve"> </w:t>
            </w:r>
            <w:r w:rsidRPr="00A2114C">
              <w:rPr>
                <w:rFonts w:eastAsia="Calibri"/>
                <w:b/>
              </w:rPr>
              <w:t>FINANŢELOR</w:t>
            </w:r>
          </w:p>
          <w:p w14:paraId="5CCBECCB" w14:textId="77777777" w:rsidR="00C37613" w:rsidRPr="00A2114C" w:rsidRDefault="00C37613" w:rsidP="00C37613">
            <w:pPr>
              <w:spacing w:line="276" w:lineRule="auto"/>
              <w:jc w:val="center"/>
              <w:rPr>
                <w:rFonts w:eastAsia="Calibri"/>
                <w:b/>
              </w:rPr>
            </w:pPr>
          </w:p>
          <w:p w14:paraId="6B3551CA" w14:textId="77777777" w:rsidR="00C37613" w:rsidRPr="00A2114C" w:rsidRDefault="00C37613" w:rsidP="00C37613">
            <w:pPr>
              <w:spacing w:line="276" w:lineRule="auto"/>
              <w:jc w:val="center"/>
              <w:rPr>
                <w:rFonts w:eastAsia="Calibri"/>
                <w:b/>
              </w:rPr>
            </w:pPr>
            <w:r w:rsidRPr="00A2114C">
              <w:rPr>
                <w:rFonts w:eastAsia="Calibri"/>
                <w:b/>
              </w:rPr>
              <w:t>ADRIAN CÂCIU</w:t>
            </w:r>
          </w:p>
          <w:p w14:paraId="4EEAD48C" w14:textId="77777777" w:rsidR="00C37613" w:rsidRPr="00A2114C" w:rsidRDefault="00C37613" w:rsidP="00C37613">
            <w:pPr>
              <w:spacing w:line="276" w:lineRule="auto"/>
              <w:jc w:val="center"/>
              <w:rPr>
                <w:rFonts w:eastAsia="Calibri"/>
                <w:b/>
              </w:rPr>
            </w:pPr>
          </w:p>
          <w:p w14:paraId="72D89287" w14:textId="64F2756C" w:rsidR="00FC61BC" w:rsidRPr="00A2114C" w:rsidRDefault="00FC61BC" w:rsidP="0064057C">
            <w:pPr>
              <w:spacing w:line="276" w:lineRule="auto"/>
              <w:jc w:val="center"/>
              <w:rPr>
                <w:rFonts w:eastAsia="Calibri"/>
                <w:b/>
              </w:rPr>
            </w:pPr>
          </w:p>
        </w:tc>
        <w:tc>
          <w:tcPr>
            <w:tcW w:w="5130" w:type="dxa"/>
            <w:shd w:val="clear" w:color="auto" w:fill="auto"/>
          </w:tcPr>
          <w:p w14:paraId="42A3DC6B" w14:textId="2192A57A" w:rsidR="00FC61BC" w:rsidRDefault="00FC61BC" w:rsidP="0064057C">
            <w:pPr>
              <w:spacing w:line="276" w:lineRule="auto"/>
              <w:jc w:val="center"/>
              <w:rPr>
                <w:rFonts w:eastAsia="Calibri"/>
                <w:b/>
              </w:rPr>
            </w:pPr>
          </w:p>
          <w:p w14:paraId="11E30573" w14:textId="77777777" w:rsidR="00C37613" w:rsidRPr="00A2114C" w:rsidRDefault="00C37613" w:rsidP="0064057C">
            <w:pPr>
              <w:spacing w:line="276" w:lineRule="auto"/>
              <w:jc w:val="center"/>
              <w:rPr>
                <w:rFonts w:eastAsia="Calibri"/>
                <w:b/>
              </w:rPr>
            </w:pPr>
          </w:p>
          <w:p w14:paraId="596870DD" w14:textId="77777777" w:rsidR="00C37613" w:rsidRPr="00A2114C" w:rsidRDefault="00C37613" w:rsidP="00C37613">
            <w:pPr>
              <w:spacing w:line="276" w:lineRule="auto"/>
              <w:jc w:val="center"/>
              <w:rPr>
                <w:rStyle w:val="ssmnpar"/>
                <w:b/>
              </w:rPr>
            </w:pPr>
            <w:r w:rsidRPr="00A2114C">
              <w:rPr>
                <w:rStyle w:val="ssmnpar"/>
                <w:b/>
              </w:rPr>
              <w:t>MINISTRUL FAMILIEI, TINERETULUI ŞI EGALITĂŢII DE ŞANSE</w:t>
            </w:r>
            <w:r w:rsidRPr="00A2114C">
              <w:rPr>
                <w:b/>
              </w:rPr>
              <w:br/>
            </w:r>
          </w:p>
          <w:p w14:paraId="0A3CF81D" w14:textId="77777777" w:rsidR="00C37613" w:rsidRPr="00A2114C" w:rsidRDefault="00C37613" w:rsidP="00C37613">
            <w:pPr>
              <w:spacing w:line="276" w:lineRule="auto"/>
              <w:jc w:val="center"/>
              <w:rPr>
                <w:rFonts w:eastAsia="Calibri"/>
                <w:b/>
              </w:rPr>
            </w:pPr>
            <w:r w:rsidRPr="00A2114C">
              <w:rPr>
                <w:rStyle w:val="ssmnpar"/>
                <w:b/>
              </w:rPr>
              <w:t>GABRIELA FIREA</w:t>
            </w:r>
            <w:r w:rsidRPr="00A2114C" w:rsidDel="00157CFC">
              <w:rPr>
                <w:rStyle w:val="ssmnpar"/>
                <w:b/>
              </w:rPr>
              <w:t xml:space="preserve"> </w:t>
            </w:r>
          </w:p>
          <w:p w14:paraId="70B9EE5B" w14:textId="77777777" w:rsidR="00520E32" w:rsidRDefault="00520E32" w:rsidP="0064057C">
            <w:pPr>
              <w:spacing w:line="276" w:lineRule="auto"/>
              <w:jc w:val="center"/>
              <w:rPr>
                <w:rStyle w:val="ssmnpar"/>
              </w:rPr>
            </w:pPr>
          </w:p>
          <w:p w14:paraId="275DFCC1" w14:textId="024952CC" w:rsidR="00FC61BC" w:rsidRPr="00A2114C" w:rsidRDefault="00FC61BC" w:rsidP="0064057C">
            <w:pPr>
              <w:spacing w:line="276" w:lineRule="auto"/>
              <w:jc w:val="center"/>
              <w:rPr>
                <w:rFonts w:eastAsia="Calibri"/>
                <w:b/>
              </w:rPr>
            </w:pPr>
          </w:p>
        </w:tc>
      </w:tr>
      <w:tr w:rsidR="00157CFC" w:rsidRPr="00A2114C" w14:paraId="0ED7B5F7" w14:textId="77777777" w:rsidTr="0064057C">
        <w:trPr>
          <w:trHeight w:val="127"/>
        </w:trPr>
        <w:tc>
          <w:tcPr>
            <w:tcW w:w="10615" w:type="dxa"/>
            <w:gridSpan w:val="2"/>
            <w:shd w:val="clear" w:color="auto" w:fill="auto"/>
          </w:tcPr>
          <w:p w14:paraId="164ECFE9" w14:textId="77777777" w:rsidR="00303141" w:rsidRDefault="00303141" w:rsidP="0064057C">
            <w:pPr>
              <w:spacing w:line="276" w:lineRule="auto"/>
              <w:jc w:val="center"/>
              <w:rPr>
                <w:rFonts w:eastAsia="Calibri"/>
                <w:b/>
              </w:rPr>
            </w:pPr>
          </w:p>
          <w:p w14:paraId="0178E47E" w14:textId="18E4A306" w:rsidR="00157CFC" w:rsidRPr="00A2114C" w:rsidRDefault="00157CFC" w:rsidP="0064057C">
            <w:pPr>
              <w:spacing w:line="276" w:lineRule="auto"/>
              <w:jc w:val="center"/>
              <w:rPr>
                <w:rFonts w:eastAsia="Calibri"/>
                <w:b/>
              </w:rPr>
            </w:pPr>
            <w:r w:rsidRPr="00A2114C">
              <w:rPr>
                <w:rFonts w:eastAsia="Calibri"/>
                <w:b/>
              </w:rPr>
              <w:t>MINISTRUL JUSTIŢIEI</w:t>
            </w:r>
          </w:p>
          <w:p w14:paraId="27884979" w14:textId="77777777" w:rsidR="00157CFC" w:rsidRPr="00A2114C" w:rsidRDefault="00157CFC" w:rsidP="0064057C">
            <w:pPr>
              <w:spacing w:line="276" w:lineRule="auto"/>
              <w:jc w:val="center"/>
              <w:rPr>
                <w:rFonts w:eastAsia="Calibri"/>
                <w:b/>
              </w:rPr>
            </w:pPr>
          </w:p>
          <w:p w14:paraId="4AC4059F" w14:textId="4223406C" w:rsidR="00157CFC" w:rsidRPr="00A2114C" w:rsidRDefault="00157CFC" w:rsidP="00711E14">
            <w:pPr>
              <w:spacing w:line="276" w:lineRule="auto"/>
              <w:jc w:val="center"/>
              <w:rPr>
                <w:rFonts w:eastAsia="Calibri"/>
                <w:b/>
              </w:rPr>
            </w:pPr>
            <w:r w:rsidRPr="00A2114C">
              <w:rPr>
                <w:rFonts w:eastAsia="Calibri"/>
                <w:b/>
              </w:rPr>
              <w:t>MARIAN – CĂTĂLIN PREDOIU</w:t>
            </w:r>
          </w:p>
        </w:tc>
      </w:tr>
    </w:tbl>
    <w:p w14:paraId="6D4462FD" w14:textId="77777777" w:rsidR="00FF7CAB" w:rsidRPr="00A2114C" w:rsidRDefault="00FF7CAB" w:rsidP="0005027D">
      <w:pPr>
        <w:spacing w:before="160" w:line="276" w:lineRule="auto"/>
        <w:jc w:val="both"/>
        <w:rPr>
          <w:rFonts w:eastAsiaTheme="minorHAnsi"/>
          <w:b/>
          <w:color w:val="000000"/>
        </w:rPr>
      </w:pPr>
    </w:p>
    <w:sectPr w:rsidR="00FF7CAB" w:rsidRPr="00A2114C" w:rsidSect="00303141">
      <w:footerReference w:type="even" r:id="rId21"/>
      <w:footerReference w:type="default" r:id="rId22"/>
      <w:pgSz w:w="12240" w:h="15840"/>
      <w:pgMar w:top="810" w:right="851" w:bottom="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11E77" w14:textId="77777777" w:rsidR="00B21A0F" w:rsidRDefault="00B21A0F">
      <w:r>
        <w:separator/>
      </w:r>
    </w:p>
  </w:endnote>
  <w:endnote w:type="continuationSeparator" w:id="0">
    <w:p w14:paraId="7D764D19" w14:textId="77777777" w:rsidR="00B21A0F" w:rsidRDefault="00B21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BA1894" w:rsidRDefault="00BA1894" w:rsidP="009C70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BA1894" w:rsidRDefault="00BA1894" w:rsidP="009C70F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2203197"/>
      <w:docPartObj>
        <w:docPartGallery w:val="Page Numbers (Bottom of Page)"/>
        <w:docPartUnique/>
      </w:docPartObj>
    </w:sdtPr>
    <w:sdtEndPr>
      <w:rPr>
        <w:noProof/>
      </w:rPr>
    </w:sdtEndPr>
    <w:sdtContent>
      <w:p w14:paraId="3C8B6679" w14:textId="716323AC" w:rsidR="00BA1894" w:rsidRDefault="00BA1894">
        <w:pPr>
          <w:pStyle w:val="Footer"/>
          <w:jc w:val="center"/>
        </w:pPr>
        <w:r>
          <w:fldChar w:fldCharType="begin"/>
        </w:r>
        <w:r>
          <w:instrText xml:space="preserve"> PAGE   \* MERGEFORMAT </w:instrText>
        </w:r>
        <w:r>
          <w:fldChar w:fldCharType="separate"/>
        </w:r>
        <w:r w:rsidR="0005027D">
          <w:rPr>
            <w:noProof/>
          </w:rPr>
          <w:t>18</w:t>
        </w:r>
        <w:r>
          <w:rPr>
            <w:noProof/>
          </w:rPr>
          <w:fldChar w:fldCharType="end"/>
        </w:r>
      </w:p>
    </w:sdtContent>
  </w:sdt>
  <w:p w14:paraId="0C442F9A" w14:textId="77777777" w:rsidR="00BA1894" w:rsidRDefault="00BA1894" w:rsidP="009C70F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56379" w14:textId="77777777" w:rsidR="00B21A0F" w:rsidRDefault="00B21A0F">
      <w:r>
        <w:separator/>
      </w:r>
    </w:p>
  </w:footnote>
  <w:footnote w:type="continuationSeparator" w:id="0">
    <w:p w14:paraId="7FC813EA" w14:textId="77777777" w:rsidR="00B21A0F" w:rsidRDefault="00B21A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1116"/>
    <w:multiLevelType w:val="hybridMultilevel"/>
    <w:tmpl w:val="36363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351EBB"/>
    <w:multiLevelType w:val="multilevel"/>
    <w:tmpl w:val="3FA4E5E2"/>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2" w15:restartNumberingAfterBreak="0">
    <w:nsid w:val="0BCB28DB"/>
    <w:multiLevelType w:val="hybridMultilevel"/>
    <w:tmpl w:val="21EE0FBE"/>
    <w:lvl w:ilvl="0" w:tplc="08090001">
      <w:start w:val="1"/>
      <w:numFmt w:val="bullet"/>
      <w:lvlText w:val=""/>
      <w:lvlJc w:val="left"/>
      <w:pPr>
        <w:ind w:left="1511" w:hanging="360"/>
      </w:pPr>
      <w:rPr>
        <w:rFonts w:ascii="Symbol" w:hAnsi="Symbol" w:hint="default"/>
      </w:rPr>
    </w:lvl>
    <w:lvl w:ilvl="1" w:tplc="08090003" w:tentative="1">
      <w:start w:val="1"/>
      <w:numFmt w:val="bullet"/>
      <w:lvlText w:val="o"/>
      <w:lvlJc w:val="left"/>
      <w:pPr>
        <w:ind w:left="2231" w:hanging="360"/>
      </w:pPr>
      <w:rPr>
        <w:rFonts w:ascii="Courier New" w:hAnsi="Courier New" w:cs="Courier New" w:hint="default"/>
      </w:rPr>
    </w:lvl>
    <w:lvl w:ilvl="2" w:tplc="08090005" w:tentative="1">
      <w:start w:val="1"/>
      <w:numFmt w:val="bullet"/>
      <w:lvlText w:val=""/>
      <w:lvlJc w:val="left"/>
      <w:pPr>
        <w:ind w:left="2951" w:hanging="360"/>
      </w:pPr>
      <w:rPr>
        <w:rFonts w:ascii="Wingdings" w:hAnsi="Wingdings" w:hint="default"/>
      </w:rPr>
    </w:lvl>
    <w:lvl w:ilvl="3" w:tplc="08090001" w:tentative="1">
      <w:start w:val="1"/>
      <w:numFmt w:val="bullet"/>
      <w:lvlText w:val=""/>
      <w:lvlJc w:val="left"/>
      <w:pPr>
        <w:ind w:left="3671" w:hanging="360"/>
      </w:pPr>
      <w:rPr>
        <w:rFonts w:ascii="Symbol" w:hAnsi="Symbol" w:hint="default"/>
      </w:rPr>
    </w:lvl>
    <w:lvl w:ilvl="4" w:tplc="08090003" w:tentative="1">
      <w:start w:val="1"/>
      <w:numFmt w:val="bullet"/>
      <w:lvlText w:val="o"/>
      <w:lvlJc w:val="left"/>
      <w:pPr>
        <w:ind w:left="4391" w:hanging="360"/>
      </w:pPr>
      <w:rPr>
        <w:rFonts w:ascii="Courier New" w:hAnsi="Courier New" w:cs="Courier New" w:hint="default"/>
      </w:rPr>
    </w:lvl>
    <w:lvl w:ilvl="5" w:tplc="08090005" w:tentative="1">
      <w:start w:val="1"/>
      <w:numFmt w:val="bullet"/>
      <w:lvlText w:val=""/>
      <w:lvlJc w:val="left"/>
      <w:pPr>
        <w:ind w:left="5111" w:hanging="360"/>
      </w:pPr>
      <w:rPr>
        <w:rFonts w:ascii="Wingdings" w:hAnsi="Wingdings" w:hint="default"/>
      </w:rPr>
    </w:lvl>
    <w:lvl w:ilvl="6" w:tplc="08090001" w:tentative="1">
      <w:start w:val="1"/>
      <w:numFmt w:val="bullet"/>
      <w:lvlText w:val=""/>
      <w:lvlJc w:val="left"/>
      <w:pPr>
        <w:ind w:left="5831" w:hanging="360"/>
      </w:pPr>
      <w:rPr>
        <w:rFonts w:ascii="Symbol" w:hAnsi="Symbol" w:hint="default"/>
      </w:rPr>
    </w:lvl>
    <w:lvl w:ilvl="7" w:tplc="08090003" w:tentative="1">
      <w:start w:val="1"/>
      <w:numFmt w:val="bullet"/>
      <w:lvlText w:val="o"/>
      <w:lvlJc w:val="left"/>
      <w:pPr>
        <w:ind w:left="6551" w:hanging="360"/>
      </w:pPr>
      <w:rPr>
        <w:rFonts w:ascii="Courier New" w:hAnsi="Courier New" w:cs="Courier New" w:hint="default"/>
      </w:rPr>
    </w:lvl>
    <w:lvl w:ilvl="8" w:tplc="08090005" w:tentative="1">
      <w:start w:val="1"/>
      <w:numFmt w:val="bullet"/>
      <w:lvlText w:val=""/>
      <w:lvlJc w:val="left"/>
      <w:pPr>
        <w:ind w:left="7271" w:hanging="360"/>
      </w:pPr>
      <w:rPr>
        <w:rFonts w:ascii="Wingdings" w:hAnsi="Wingdings" w:hint="default"/>
      </w:rPr>
    </w:lvl>
  </w:abstractNum>
  <w:abstractNum w:abstractNumId="3"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135EF9"/>
    <w:multiLevelType w:val="hybridMultilevel"/>
    <w:tmpl w:val="9460C55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397D56"/>
    <w:multiLevelType w:val="hybridMultilevel"/>
    <w:tmpl w:val="2A0EE6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85F388B"/>
    <w:multiLevelType w:val="hybridMultilevel"/>
    <w:tmpl w:val="BE926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381ED6"/>
    <w:multiLevelType w:val="hybridMultilevel"/>
    <w:tmpl w:val="88606B3A"/>
    <w:lvl w:ilvl="0" w:tplc="0409000D">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EBC5249"/>
    <w:multiLevelType w:val="multilevel"/>
    <w:tmpl w:val="8A763F72"/>
    <w:lvl w:ilvl="0">
      <w:start w:val="1"/>
      <w:numFmt w:val="lowerLetter"/>
      <w:lvlText w:val="%1)"/>
      <w:lvlJc w:val="left"/>
      <w:pPr>
        <w:ind w:left="720" w:hanging="360"/>
      </w:pPr>
      <w:rPr>
        <w:rFonts w:ascii="Trebuchet MS" w:eastAsia="Trebuchet MS" w:hAnsi="Trebuchet MS" w:cs="Trebuchet M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1721A3"/>
    <w:multiLevelType w:val="hybridMultilevel"/>
    <w:tmpl w:val="37F060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4E744A6"/>
    <w:multiLevelType w:val="hybridMultilevel"/>
    <w:tmpl w:val="BB1E16F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8756590"/>
    <w:multiLevelType w:val="hybridMultilevel"/>
    <w:tmpl w:val="2B84D92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8D25E0F"/>
    <w:multiLevelType w:val="hybridMultilevel"/>
    <w:tmpl w:val="5E4E70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FD28B7"/>
    <w:multiLevelType w:val="multilevel"/>
    <w:tmpl w:val="B778E6D8"/>
    <w:lvl w:ilvl="0">
      <w:start w:val="1"/>
      <w:numFmt w:val="upperRoman"/>
      <w:lvlText w:val="%1."/>
      <w:lvlJc w:val="right"/>
      <w:pPr>
        <w:ind w:left="720" w:hanging="360"/>
      </w:pPr>
      <w:rPr>
        <w:rFonts w:cs="Times New Roman"/>
        <w:strike w:val="0"/>
        <w:dstrike w:val="0"/>
        <w:u w:val="none"/>
        <w:effect w:val="none"/>
      </w:rPr>
    </w:lvl>
    <w:lvl w:ilvl="1">
      <w:start w:val="1"/>
      <w:numFmt w:val="upperLetter"/>
      <w:pStyle w:val="ListaA"/>
      <w:lvlText w:val="%2."/>
      <w:lvlJc w:val="left"/>
      <w:pPr>
        <w:ind w:left="1440" w:hanging="360"/>
      </w:pPr>
      <w:rPr>
        <w:strike w:val="0"/>
        <w:dstrike w:val="0"/>
        <w:color w:val="auto"/>
        <w:u w:val="none"/>
        <w:effect w:val="none"/>
      </w:rPr>
    </w:lvl>
    <w:lvl w:ilvl="2">
      <w:start w:val="1"/>
      <w:numFmt w:val="decimal"/>
      <w:lvlText w:val="%3."/>
      <w:lvlJc w:val="left"/>
      <w:pPr>
        <w:ind w:left="2160" w:hanging="360"/>
      </w:pPr>
      <w:rPr>
        <w:rFonts w:cs="Times New Roman"/>
        <w:strike w:val="0"/>
        <w:dstrike w:val="0"/>
        <w:u w:val="none"/>
        <w:effect w:val="none"/>
      </w:rPr>
    </w:lvl>
    <w:lvl w:ilvl="3">
      <w:start w:val="1"/>
      <w:numFmt w:val="lowerLetter"/>
      <w:lvlText w:val="%4)"/>
      <w:lvlJc w:val="left"/>
      <w:pPr>
        <w:ind w:left="2880" w:hanging="360"/>
      </w:pPr>
      <w:rPr>
        <w:rFonts w:cs="Times New Roman"/>
        <w:strike w:val="0"/>
        <w:dstrike w:val="0"/>
        <w:u w:val="none"/>
        <w:effect w:val="none"/>
      </w:rPr>
    </w:lvl>
    <w:lvl w:ilvl="4">
      <w:start w:val="1"/>
      <w:numFmt w:val="decimal"/>
      <w:lvlText w:val="(%5)"/>
      <w:lvlJc w:val="left"/>
      <w:pPr>
        <w:ind w:left="3600" w:hanging="360"/>
      </w:pPr>
      <w:rPr>
        <w:rFonts w:cs="Times New Roman"/>
        <w:strike w:val="0"/>
        <w:dstrike w:val="0"/>
        <w:u w:val="none"/>
        <w:effect w:val="none"/>
      </w:rPr>
    </w:lvl>
    <w:lvl w:ilvl="5">
      <w:start w:val="1"/>
      <w:numFmt w:val="lowerLetter"/>
      <w:lvlText w:val="(%6)"/>
      <w:lvlJc w:val="left"/>
      <w:pPr>
        <w:ind w:left="4320" w:hanging="360"/>
      </w:pPr>
      <w:rPr>
        <w:rFonts w:cs="Times New Roman"/>
        <w:strike w:val="0"/>
        <w:dstrike w:val="0"/>
        <w:u w:val="none"/>
        <w:effect w:val="none"/>
      </w:rPr>
    </w:lvl>
    <w:lvl w:ilvl="6">
      <w:start w:val="1"/>
      <w:numFmt w:val="lowerRoman"/>
      <w:lvlText w:val="(%7)"/>
      <w:lvlJc w:val="right"/>
      <w:pPr>
        <w:ind w:left="5040" w:hanging="360"/>
      </w:pPr>
      <w:rPr>
        <w:rFonts w:cs="Times New Roman"/>
        <w:strike w:val="0"/>
        <w:dstrike w:val="0"/>
        <w:u w:val="none"/>
        <w:effect w:val="none"/>
      </w:rPr>
    </w:lvl>
    <w:lvl w:ilvl="7">
      <w:start w:val="1"/>
      <w:numFmt w:val="lowerLetter"/>
      <w:lvlText w:val="(%8)"/>
      <w:lvlJc w:val="left"/>
      <w:pPr>
        <w:ind w:left="5760" w:hanging="360"/>
      </w:pPr>
      <w:rPr>
        <w:rFonts w:cs="Times New Roman"/>
        <w:strike w:val="0"/>
        <w:dstrike w:val="0"/>
        <w:u w:val="none"/>
        <w:effect w:val="none"/>
      </w:rPr>
    </w:lvl>
    <w:lvl w:ilvl="8">
      <w:start w:val="1"/>
      <w:numFmt w:val="lowerRoman"/>
      <w:lvlText w:val="(%9)"/>
      <w:lvlJc w:val="right"/>
      <w:pPr>
        <w:ind w:left="6480" w:hanging="360"/>
      </w:pPr>
      <w:rPr>
        <w:rFonts w:cs="Times New Roman"/>
        <w:strike w:val="0"/>
        <w:dstrike w:val="0"/>
        <w:u w:val="none"/>
        <w:effect w:val="none"/>
      </w:rPr>
    </w:lvl>
  </w:abstractNum>
  <w:abstractNum w:abstractNumId="20" w15:restartNumberingAfterBreak="0">
    <w:nsid w:val="509938ED"/>
    <w:multiLevelType w:val="hybridMultilevel"/>
    <w:tmpl w:val="1630958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6682C38"/>
    <w:multiLevelType w:val="hybridMultilevel"/>
    <w:tmpl w:val="2488F3CC"/>
    <w:lvl w:ilvl="0" w:tplc="08090001">
      <w:start w:val="1"/>
      <w:numFmt w:val="bullet"/>
      <w:lvlText w:val=""/>
      <w:lvlJc w:val="left"/>
      <w:pPr>
        <w:ind w:left="1511" w:hanging="360"/>
      </w:pPr>
      <w:rPr>
        <w:rFonts w:ascii="Symbol" w:hAnsi="Symbol" w:hint="default"/>
      </w:rPr>
    </w:lvl>
    <w:lvl w:ilvl="1" w:tplc="08090003" w:tentative="1">
      <w:start w:val="1"/>
      <w:numFmt w:val="bullet"/>
      <w:lvlText w:val="o"/>
      <w:lvlJc w:val="left"/>
      <w:pPr>
        <w:ind w:left="2231" w:hanging="360"/>
      </w:pPr>
      <w:rPr>
        <w:rFonts w:ascii="Courier New" w:hAnsi="Courier New" w:cs="Courier New" w:hint="default"/>
      </w:rPr>
    </w:lvl>
    <w:lvl w:ilvl="2" w:tplc="08090005" w:tentative="1">
      <w:start w:val="1"/>
      <w:numFmt w:val="bullet"/>
      <w:lvlText w:val=""/>
      <w:lvlJc w:val="left"/>
      <w:pPr>
        <w:ind w:left="2951" w:hanging="360"/>
      </w:pPr>
      <w:rPr>
        <w:rFonts w:ascii="Wingdings" w:hAnsi="Wingdings" w:hint="default"/>
      </w:rPr>
    </w:lvl>
    <w:lvl w:ilvl="3" w:tplc="08090001" w:tentative="1">
      <w:start w:val="1"/>
      <w:numFmt w:val="bullet"/>
      <w:lvlText w:val=""/>
      <w:lvlJc w:val="left"/>
      <w:pPr>
        <w:ind w:left="3671" w:hanging="360"/>
      </w:pPr>
      <w:rPr>
        <w:rFonts w:ascii="Symbol" w:hAnsi="Symbol" w:hint="default"/>
      </w:rPr>
    </w:lvl>
    <w:lvl w:ilvl="4" w:tplc="08090003" w:tentative="1">
      <w:start w:val="1"/>
      <w:numFmt w:val="bullet"/>
      <w:lvlText w:val="o"/>
      <w:lvlJc w:val="left"/>
      <w:pPr>
        <w:ind w:left="4391" w:hanging="360"/>
      </w:pPr>
      <w:rPr>
        <w:rFonts w:ascii="Courier New" w:hAnsi="Courier New" w:cs="Courier New" w:hint="default"/>
      </w:rPr>
    </w:lvl>
    <w:lvl w:ilvl="5" w:tplc="08090005" w:tentative="1">
      <w:start w:val="1"/>
      <w:numFmt w:val="bullet"/>
      <w:lvlText w:val=""/>
      <w:lvlJc w:val="left"/>
      <w:pPr>
        <w:ind w:left="5111" w:hanging="360"/>
      </w:pPr>
      <w:rPr>
        <w:rFonts w:ascii="Wingdings" w:hAnsi="Wingdings" w:hint="default"/>
      </w:rPr>
    </w:lvl>
    <w:lvl w:ilvl="6" w:tplc="08090001" w:tentative="1">
      <w:start w:val="1"/>
      <w:numFmt w:val="bullet"/>
      <w:lvlText w:val=""/>
      <w:lvlJc w:val="left"/>
      <w:pPr>
        <w:ind w:left="5831" w:hanging="360"/>
      </w:pPr>
      <w:rPr>
        <w:rFonts w:ascii="Symbol" w:hAnsi="Symbol" w:hint="default"/>
      </w:rPr>
    </w:lvl>
    <w:lvl w:ilvl="7" w:tplc="08090003" w:tentative="1">
      <w:start w:val="1"/>
      <w:numFmt w:val="bullet"/>
      <w:lvlText w:val="o"/>
      <w:lvlJc w:val="left"/>
      <w:pPr>
        <w:ind w:left="6551" w:hanging="360"/>
      </w:pPr>
      <w:rPr>
        <w:rFonts w:ascii="Courier New" w:hAnsi="Courier New" w:cs="Courier New" w:hint="default"/>
      </w:rPr>
    </w:lvl>
    <w:lvl w:ilvl="8" w:tplc="08090005" w:tentative="1">
      <w:start w:val="1"/>
      <w:numFmt w:val="bullet"/>
      <w:lvlText w:val=""/>
      <w:lvlJc w:val="left"/>
      <w:pPr>
        <w:ind w:left="7271" w:hanging="360"/>
      </w:pPr>
      <w:rPr>
        <w:rFonts w:ascii="Wingdings" w:hAnsi="Wingdings" w:hint="default"/>
      </w:rPr>
    </w:lvl>
  </w:abstractNum>
  <w:abstractNum w:abstractNumId="22"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6850F8"/>
    <w:multiLevelType w:val="hybridMultilevel"/>
    <w:tmpl w:val="0AD83C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F7278D"/>
    <w:multiLevelType w:val="hybridMultilevel"/>
    <w:tmpl w:val="E8E2DC16"/>
    <w:lvl w:ilvl="0" w:tplc="0409000D">
      <w:start w:val="1"/>
      <w:numFmt w:val="bullet"/>
      <w:lvlText w:val=""/>
      <w:lvlJc w:val="left"/>
      <w:pPr>
        <w:ind w:left="1171" w:hanging="360"/>
      </w:pPr>
      <w:rPr>
        <w:rFonts w:ascii="Wingdings" w:hAnsi="Wingdings" w:hint="default"/>
      </w:rPr>
    </w:lvl>
    <w:lvl w:ilvl="1" w:tplc="04090003" w:tentative="1">
      <w:start w:val="1"/>
      <w:numFmt w:val="bullet"/>
      <w:lvlText w:val="o"/>
      <w:lvlJc w:val="left"/>
      <w:pPr>
        <w:ind w:left="1891" w:hanging="360"/>
      </w:pPr>
      <w:rPr>
        <w:rFonts w:ascii="Courier New" w:hAnsi="Courier New" w:cs="Courier New" w:hint="default"/>
      </w:rPr>
    </w:lvl>
    <w:lvl w:ilvl="2" w:tplc="04090005" w:tentative="1">
      <w:start w:val="1"/>
      <w:numFmt w:val="bullet"/>
      <w:lvlText w:val=""/>
      <w:lvlJc w:val="left"/>
      <w:pPr>
        <w:ind w:left="2611" w:hanging="360"/>
      </w:pPr>
      <w:rPr>
        <w:rFonts w:ascii="Wingdings" w:hAnsi="Wingdings" w:hint="default"/>
      </w:rPr>
    </w:lvl>
    <w:lvl w:ilvl="3" w:tplc="04090001" w:tentative="1">
      <w:start w:val="1"/>
      <w:numFmt w:val="bullet"/>
      <w:lvlText w:val=""/>
      <w:lvlJc w:val="left"/>
      <w:pPr>
        <w:ind w:left="3331" w:hanging="360"/>
      </w:pPr>
      <w:rPr>
        <w:rFonts w:ascii="Symbol" w:hAnsi="Symbol" w:hint="default"/>
      </w:rPr>
    </w:lvl>
    <w:lvl w:ilvl="4" w:tplc="04090003" w:tentative="1">
      <w:start w:val="1"/>
      <w:numFmt w:val="bullet"/>
      <w:lvlText w:val="o"/>
      <w:lvlJc w:val="left"/>
      <w:pPr>
        <w:ind w:left="4051" w:hanging="360"/>
      </w:pPr>
      <w:rPr>
        <w:rFonts w:ascii="Courier New" w:hAnsi="Courier New" w:cs="Courier New" w:hint="default"/>
      </w:rPr>
    </w:lvl>
    <w:lvl w:ilvl="5" w:tplc="04090005" w:tentative="1">
      <w:start w:val="1"/>
      <w:numFmt w:val="bullet"/>
      <w:lvlText w:val=""/>
      <w:lvlJc w:val="left"/>
      <w:pPr>
        <w:ind w:left="4771" w:hanging="360"/>
      </w:pPr>
      <w:rPr>
        <w:rFonts w:ascii="Wingdings" w:hAnsi="Wingdings" w:hint="default"/>
      </w:rPr>
    </w:lvl>
    <w:lvl w:ilvl="6" w:tplc="04090001" w:tentative="1">
      <w:start w:val="1"/>
      <w:numFmt w:val="bullet"/>
      <w:lvlText w:val=""/>
      <w:lvlJc w:val="left"/>
      <w:pPr>
        <w:ind w:left="5491" w:hanging="360"/>
      </w:pPr>
      <w:rPr>
        <w:rFonts w:ascii="Symbol" w:hAnsi="Symbol" w:hint="default"/>
      </w:rPr>
    </w:lvl>
    <w:lvl w:ilvl="7" w:tplc="04090003" w:tentative="1">
      <w:start w:val="1"/>
      <w:numFmt w:val="bullet"/>
      <w:lvlText w:val="o"/>
      <w:lvlJc w:val="left"/>
      <w:pPr>
        <w:ind w:left="6211" w:hanging="360"/>
      </w:pPr>
      <w:rPr>
        <w:rFonts w:ascii="Courier New" w:hAnsi="Courier New" w:cs="Courier New" w:hint="default"/>
      </w:rPr>
    </w:lvl>
    <w:lvl w:ilvl="8" w:tplc="04090005" w:tentative="1">
      <w:start w:val="1"/>
      <w:numFmt w:val="bullet"/>
      <w:lvlText w:val=""/>
      <w:lvlJc w:val="left"/>
      <w:pPr>
        <w:ind w:left="6931" w:hanging="360"/>
      </w:pPr>
      <w:rPr>
        <w:rFonts w:ascii="Wingdings" w:hAnsi="Wingdings" w:hint="default"/>
      </w:rPr>
    </w:lvl>
  </w:abstractNum>
  <w:abstractNum w:abstractNumId="25" w15:restartNumberingAfterBreak="0">
    <w:nsid w:val="6A9E085D"/>
    <w:multiLevelType w:val="hybridMultilevel"/>
    <w:tmpl w:val="30406F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7332318"/>
    <w:multiLevelType w:val="multilevel"/>
    <w:tmpl w:val="8B20B748"/>
    <w:lvl w:ilvl="0">
      <w:start w:val="1"/>
      <w:numFmt w:val="upperRoman"/>
      <w:pStyle w:val="ListaCifreRomane"/>
      <w:lvlText w:val="%1."/>
      <w:lvlJc w:val="right"/>
      <w:pPr>
        <w:ind w:left="720" w:hanging="360"/>
      </w:pPr>
      <w:rPr>
        <w:strike w:val="0"/>
        <w:dstrike w:val="0"/>
        <w:color w:val="auto"/>
        <w:u w:val="none"/>
        <w:effect w:val="none"/>
      </w:rPr>
    </w:lvl>
    <w:lvl w:ilvl="1">
      <w:start w:val="1"/>
      <w:numFmt w:val="upperLetter"/>
      <w:lvlText w:val="%2."/>
      <w:lvlJc w:val="left"/>
      <w:pPr>
        <w:ind w:left="1440" w:hanging="360"/>
      </w:pPr>
      <w:rPr>
        <w:rFonts w:cs="Times New Roman"/>
        <w:strike w:val="0"/>
        <w:dstrike w:val="0"/>
        <w:u w:val="none"/>
        <w:effect w:val="none"/>
      </w:rPr>
    </w:lvl>
    <w:lvl w:ilvl="2">
      <w:start w:val="1"/>
      <w:numFmt w:val="decimal"/>
      <w:lvlText w:val="%3."/>
      <w:lvlJc w:val="left"/>
      <w:pPr>
        <w:ind w:left="2160" w:hanging="360"/>
      </w:pPr>
      <w:rPr>
        <w:rFonts w:cs="Times New Roman"/>
        <w:strike w:val="0"/>
        <w:dstrike w:val="0"/>
        <w:u w:val="none"/>
        <w:effect w:val="none"/>
      </w:rPr>
    </w:lvl>
    <w:lvl w:ilvl="3">
      <w:start w:val="1"/>
      <w:numFmt w:val="lowerLetter"/>
      <w:lvlText w:val="%4)"/>
      <w:lvlJc w:val="left"/>
      <w:pPr>
        <w:ind w:left="2880" w:hanging="360"/>
      </w:pPr>
      <w:rPr>
        <w:rFonts w:cs="Times New Roman"/>
        <w:strike w:val="0"/>
        <w:dstrike w:val="0"/>
        <w:u w:val="none"/>
        <w:effect w:val="none"/>
      </w:rPr>
    </w:lvl>
    <w:lvl w:ilvl="4">
      <w:start w:val="1"/>
      <w:numFmt w:val="decimal"/>
      <w:lvlText w:val="(%5)"/>
      <w:lvlJc w:val="left"/>
      <w:pPr>
        <w:ind w:left="3600" w:hanging="360"/>
      </w:pPr>
      <w:rPr>
        <w:rFonts w:cs="Times New Roman"/>
        <w:strike w:val="0"/>
        <w:dstrike w:val="0"/>
        <w:u w:val="none"/>
        <w:effect w:val="none"/>
      </w:rPr>
    </w:lvl>
    <w:lvl w:ilvl="5">
      <w:start w:val="1"/>
      <w:numFmt w:val="lowerLetter"/>
      <w:lvlText w:val="(%6)"/>
      <w:lvlJc w:val="left"/>
      <w:pPr>
        <w:ind w:left="4320" w:hanging="360"/>
      </w:pPr>
      <w:rPr>
        <w:rFonts w:cs="Times New Roman"/>
        <w:strike w:val="0"/>
        <w:dstrike w:val="0"/>
        <w:u w:val="none"/>
        <w:effect w:val="none"/>
      </w:rPr>
    </w:lvl>
    <w:lvl w:ilvl="6">
      <w:start w:val="1"/>
      <w:numFmt w:val="lowerRoman"/>
      <w:lvlText w:val="(%7)"/>
      <w:lvlJc w:val="right"/>
      <w:pPr>
        <w:ind w:left="5040" w:hanging="360"/>
      </w:pPr>
      <w:rPr>
        <w:rFonts w:cs="Times New Roman"/>
        <w:strike w:val="0"/>
        <w:dstrike w:val="0"/>
        <w:u w:val="none"/>
        <w:effect w:val="none"/>
      </w:rPr>
    </w:lvl>
    <w:lvl w:ilvl="7">
      <w:start w:val="1"/>
      <w:numFmt w:val="lowerLetter"/>
      <w:lvlText w:val="(%8)"/>
      <w:lvlJc w:val="left"/>
      <w:pPr>
        <w:ind w:left="5760" w:hanging="360"/>
      </w:pPr>
      <w:rPr>
        <w:rFonts w:cs="Times New Roman"/>
        <w:strike w:val="0"/>
        <w:dstrike w:val="0"/>
        <w:u w:val="none"/>
        <w:effect w:val="none"/>
      </w:rPr>
    </w:lvl>
    <w:lvl w:ilvl="8">
      <w:start w:val="1"/>
      <w:numFmt w:val="lowerRoman"/>
      <w:lvlText w:val="(%9)"/>
      <w:lvlJc w:val="right"/>
      <w:pPr>
        <w:ind w:left="6480" w:hanging="360"/>
      </w:pPr>
      <w:rPr>
        <w:rFonts w:cs="Times New Roman"/>
        <w:strike w:val="0"/>
        <w:dstrike w:val="0"/>
        <w:u w:val="none"/>
        <w:effect w:val="none"/>
      </w:rPr>
    </w:lvl>
  </w:abstractNum>
  <w:abstractNum w:abstractNumId="28"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BC63656"/>
    <w:multiLevelType w:val="hybridMultilevel"/>
    <w:tmpl w:val="86C0F3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16cid:durableId="950863770">
    <w:abstractNumId w:val="3"/>
  </w:num>
  <w:num w:numId="2" w16cid:durableId="2018582255">
    <w:abstractNumId w:val="31"/>
  </w:num>
  <w:num w:numId="3" w16cid:durableId="1197042743">
    <w:abstractNumId w:val="26"/>
  </w:num>
  <w:num w:numId="4" w16cid:durableId="1779252440">
    <w:abstractNumId w:val="5"/>
  </w:num>
  <w:num w:numId="5" w16cid:durableId="895554843">
    <w:abstractNumId w:val="13"/>
  </w:num>
  <w:num w:numId="6" w16cid:durableId="1958755128">
    <w:abstractNumId w:val="29"/>
  </w:num>
  <w:num w:numId="7" w16cid:durableId="1623462864">
    <w:abstractNumId w:val="12"/>
  </w:num>
  <w:num w:numId="8" w16cid:durableId="11901443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759068">
    <w:abstractNumId w:val="28"/>
  </w:num>
  <w:num w:numId="10" w16cid:durableId="453867399">
    <w:abstractNumId w:val="22"/>
  </w:num>
  <w:num w:numId="11" w16cid:durableId="305665188">
    <w:abstractNumId w:val="16"/>
  </w:num>
  <w:num w:numId="12" w16cid:durableId="2145729135">
    <w:abstractNumId w:val="11"/>
  </w:num>
  <w:num w:numId="13" w16cid:durableId="1344093911">
    <w:abstractNumId w:val="10"/>
  </w:num>
  <w:num w:numId="14" w16cid:durableId="1898318512">
    <w:abstractNumId w:val="15"/>
  </w:num>
  <w:num w:numId="15" w16cid:durableId="1256749149">
    <w:abstractNumId w:val="0"/>
  </w:num>
  <w:num w:numId="16" w16cid:durableId="232008626">
    <w:abstractNumId w:val="18"/>
  </w:num>
  <w:num w:numId="17" w16cid:durableId="587617154">
    <w:abstractNumId w:val="27"/>
  </w:num>
  <w:num w:numId="18" w16cid:durableId="2009450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05222967">
    <w:abstractNumId w:val="19"/>
  </w:num>
  <w:num w:numId="20" w16cid:durableId="12068700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414254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1788776">
    <w:abstractNumId w:val="17"/>
  </w:num>
  <w:num w:numId="23" w16cid:durableId="992876386">
    <w:abstractNumId w:val="14"/>
  </w:num>
  <w:num w:numId="24" w16cid:durableId="299766513">
    <w:abstractNumId w:val="20"/>
  </w:num>
  <w:num w:numId="25" w16cid:durableId="1862205733">
    <w:abstractNumId w:val="6"/>
  </w:num>
  <w:num w:numId="26" w16cid:durableId="372193654">
    <w:abstractNumId w:val="9"/>
  </w:num>
  <w:num w:numId="27" w16cid:durableId="424107222">
    <w:abstractNumId w:val="1"/>
  </w:num>
  <w:num w:numId="28" w16cid:durableId="589587548">
    <w:abstractNumId w:val="8"/>
  </w:num>
  <w:num w:numId="29" w16cid:durableId="824735200">
    <w:abstractNumId w:val="23"/>
  </w:num>
  <w:num w:numId="30" w16cid:durableId="435709844">
    <w:abstractNumId w:val="24"/>
  </w:num>
  <w:num w:numId="31" w16cid:durableId="662464699">
    <w:abstractNumId w:val="4"/>
  </w:num>
  <w:num w:numId="32" w16cid:durableId="1856383322">
    <w:abstractNumId w:val="30"/>
  </w:num>
  <w:num w:numId="33" w16cid:durableId="1675842783">
    <w:abstractNumId w:val="7"/>
  </w:num>
  <w:num w:numId="34" w16cid:durableId="1345783737">
    <w:abstractNumId w:val="25"/>
  </w:num>
  <w:num w:numId="35" w16cid:durableId="353459309">
    <w:abstractNumId w:val="21"/>
  </w:num>
  <w:num w:numId="36" w16cid:durableId="4841303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21D"/>
    <w:rsid w:val="000019B6"/>
    <w:rsid w:val="00002E4A"/>
    <w:rsid w:val="000040A1"/>
    <w:rsid w:val="000042B4"/>
    <w:rsid w:val="00004C7C"/>
    <w:rsid w:val="00006F20"/>
    <w:rsid w:val="0000707B"/>
    <w:rsid w:val="0001318A"/>
    <w:rsid w:val="00013621"/>
    <w:rsid w:val="0001442E"/>
    <w:rsid w:val="000155D5"/>
    <w:rsid w:val="000160F3"/>
    <w:rsid w:val="00017D04"/>
    <w:rsid w:val="0002299E"/>
    <w:rsid w:val="00024F37"/>
    <w:rsid w:val="00025015"/>
    <w:rsid w:val="000260DD"/>
    <w:rsid w:val="000265F7"/>
    <w:rsid w:val="00026B13"/>
    <w:rsid w:val="00027469"/>
    <w:rsid w:val="00031D8D"/>
    <w:rsid w:val="0003205B"/>
    <w:rsid w:val="0003401D"/>
    <w:rsid w:val="00035D17"/>
    <w:rsid w:val="000369EF"/>
    <w:rsid w:val="00040B7B"/>
    <w:rsid w:val="00043471"/>
    <w:rsid w:val="00043911"/>
    <w:rsid w:val="00044209"/>
    <w:rsid w:val="0004452D"/>
    <w:rsid w:val="00044D39"/>
    <w:rsid w:val="00046B44"/>
    <w:rsid w:val="0005027D"/>
    <w:rsid w:val="000503A8"/>
    <w:rsid w:val="0005099B"/>
    <w:rsid w:val="00052AE4"/>
    <w:rsid w:val="00054869"/>
    <w:rsid w:val="00054DF8"/>
    <w:rsid w:val="000563C0"/>
    <w:rsid w:val="00056548"/>
    <w:rsid w:val="00057629"/>
    <w:rsid w:val="00057EC8"/>
    <w:rsid w:val="00060E2F"/>
    <w:rsid w:val="00061E6F"/>
    <w:rsid w:val="0006216F"/>
    <w:rsid w:val="00062BA0"/>
    <w:rsid w:val="0006409E"/>
    <w:rsid w:val="00064A6B"/>
    <w:rsid w:val="00064E28"/>
    <w:rsid w:val="0006547C"/>
    <w:rsid w:val="00066350"/>
    <w:rsid w:val="00070830"/>
    <w:rsid w:val="00073195"/>
    <w:rsid w:val="000733D3"/>
    <w:rsid w:val="0007609F"/>
    <w:rsid w:val="00076C55"/>
    <w:rsid w:val="000808EE"/>
    <w:rsid w:val="00081475"/>
    <w:rsid w:val="00083DB6"/>
    <w:rsid w:val="00083EAF"/>
    <w:rsid w:val="0008463B"/>
    <w:rsid w:val="00084EE5"/>
    <w:rsid w:val="00084F56"/>
    <w:rsid w:val="00085904"/>
    <w:rsid w:val="00086114"/>
    <w:rsid w:val="00086663"/>
    <w:rsid w:val="0008730B"/>
    <w:rsid w:val="00087383"/>
    <w:rsid w:val="00087C48"/>
    <w:rsid w:val="00090676"/>
    <w:rsid w:val="0009222E"/>
    <w:rsid w:val="00092376"/>
    <w:rsid w:val="0009320D"/>
    <w:rsid w:val="00094481"/>
    <w:rsid w:val="000949D2"/>
    <w:rsid w:val="00094AE3"/>
    <w:rsid w:val="00095300"/>
    <w:rsid w:val="0009621B"/>
    <w:rsid w:val="000A06E8"/>
    <w:rsid w:val="000A437E"/>
    <w:rsid w:val="000A6298"/>
    <w:rsid w:val="000A71F1"/>
    <w:rsid w:val="000B036B"/>
    <w:rsid w:val="000B1818"/>
    <w:rsid w:val="000B257C"/>
    <w:rsid w:val="000B391A"/>
    <w:rsid w:val="000B3D76"/>
    <w:rsid w:val="000B4945"/>
    <w:rsid w:val="000B55D8"/>
    <w:rsid w:val="000B650E"/>
    <w:rsid w:val="000B665D"/>
    <w:rsid w:val="000B7506"/>
    <w:rsid w:val="000B753E"/>
    <w:rsid w:val="000C3277"/>
    <w:rsid w:val="000C3586"/>
    <w:rsid w:val="000C3625"/>
    <w:rsid w:val="000C4A4F"/>
    <w:rsid w:val="000C54A4"/>
    <w:rsid w:val="000C614B"/>
    <w:rsid w:val="000C687D"/>
    <w:rsid w:val="000C7D63"/>
    <w:rsid w:val="000C7EAF"/>
    <w:rsid w:val="000C7EEC"/>
    <w:rsid w:val="000D0889"/>
    <w:rsid w:val="000D21F9"/>
    <w:rsid w:val="000D23B9"/>
    <w:rsid w:val="000D2B20"/>
    <w:rsid w:val="000D315E"/>
    <w:rsid w:val="000D403B"/>
    <w:rsid w:val="000D4132"/>
    <w:rsid w:val="000D4C09"/>
    <w:rsid w:val="000D69AF"/>
    <w:rsid w:val="000E0EA4"/>
    <w:rsid w:val="000E2C2D"/>
    <w:rsid w:val="000E3604"/>
    <w:rsid w:val="000E3A58"/>
    <w:rsid w:val="000E560B"/>
    <w:rsid w:val="000E6FCF"/>
    <w:rsid w:val="000E74F5"/>
    <w:rsid w:val="000F1B02"/>
    <w:rsid w:val="000F26C2"/>
    <w:rsid w:val="000F40EF"/>
    <w:rsid w:val="000F6105"/>
    <w:rsid w:val="000F7896"/>
    <w:rsid w:val="00100251"/>
    <w:rsid w:val="00101A9B"/>
    <w:rsid w:val="001023B0"/>
    <w:rsid w:val="0010482B"/>
    <w:rsid w:val="00105808"/>
    <w:rsid w:val="001067AA"/>
    <w:rsid w:val="00106FB3"/>
    <w:rsid w:val="00106FE8"/>
    <w:rsid w:val="00107736"/>
    <w:rsid w:val="00107740"/>
    <w:rsid w:val="001077E3"/>
    <w:rsid w:val="00107E28"/>
    <w:rsid w:val="001110C2"/>
    <w:rsid w:val="00111EEB"/>
    <w:rsid w:val="00112E9E"/>
    <w:rsid w:val="001147BA"/>
    <w:rsid w:val="0011501B"/>
    <w:rsid w:val="00115083"/>
    <w:rsid w:val="00115131"/>
    <w:rsid w:val="00121CCC"/>
    <w:rsid w:val="00123D7C"/>
    <w:rsid w:val="001250F7"/>
    <w:rsid w:val="00125245"/>
    <w:rsid w:val="00126BBF"/>
    <w:rsid w:val="00130ADF"/>
    <w:rsid w:val="00131281"/>
    <w:rsid w:val="001313D8"/>
    <w:rsid w:val="0013230E"/>
    <w:rsid w:val="00133A3B"/>
    <w:rsid w:val="0013450E"/>
    <w:rsid w:val="0013619D"/>
    <w:rsid w:val="0013676D"/>
    <w:rsid w:val="00137181"/>
    <w:rsid w:val="00137A13"/>
    <w:rsid w:val="00140655"/>
    <w:rsid w:val="001459BC"/>
    <w:rsid w:val="0014608E"/>
    <w:rsid w:val="00146BF1"/>
    <w:rsid w:val="0014728C"/>
    <w:rsid w:val="001500EA"/>
    <w:rsid w:val="00152085"/>
    <w:rsid w:val="001528E8"/>
    <w:rsid w:val="00153B2A"/>
    <w:rsid w:val="0015446A"/>
    <w:rsid w:val="001544DC"/>
    <w:rsid w:val="0015762E"/>
    <w:rsid w:val="00157B5B"/>
    <w:rsid w:val="00157CFC"/>
    <w:rsid w:val="00160148"/>
    <w:rsid w:val="00161A61"/>
    <w:rsid w:val="001637B9"/>
    <w:rsid w:val="00164F79"/>
    <w:rsid w:val="00164FF3"/>
    <w:rsid w:val="00165A07"/>
    <w:rsid w:val="00165C92"/>
    <w:rsid w:val="00165D35"/>
    <w:rsid w:val="0016702F"/>
    <w:rsid w:val="0016785A"/>
    <w:rsid w:val="00167EF9"/>
    <w:rsid w:val="0017030A"/>
    <w:rsid w:val="00170D4E"/>
    <w:rsid w:val="00172493"/>
    <w:rsid w:val="00173986"/>
    <w:rsid w:val="0017630C"/>
    <w:rsid w:val="001776C1"/>
    <w:rsid w:val="00177CD3"/>
    <w:rsid w:val="00177EC3"/>
    <w:rsid w:val="00180B7B"/>
    <w:rsid w:val="00181323"/>
    <w:rsid w:val="0018173D"/>
    <w:rsid w:val="00181DB6"/>
    <w:rsid w:val="0019189C"/>
    <w:rsid w:val="001919CC"/>
    <w:rsid w:val="0019387C"/>
    <w:rsid w:val="001945C9"/>
    <w:rsid w:val="001A0854"/>
    <w:rsid w:val="001A0AEA"/>
    <w:rsid w:val="001A1AA3"/>
    <w:rsid w:val="001A1AE5"/>
    <w:rsid w:val="001A1D31"/>
    <w:rsid w:val="001A241C"/>
    <w:rsid w:val="001A2A6E"/>
    <w:rsid w:val="001A374F"/>
    <w:rsid w:val="001A4420"/>
    <w:rsid w:val="001A52F1"/>
    <w:rsid w:val="001A78A0"/>
    <w:rsid w:val="001A7C31"/>
    <w:rsid w:val="001B1912"/>
    <w:rsid w:val="001B1AD6"/>
    <w:rsid w:val="001B22B4"/>
    <w:rsid w:val="001B22D1"/>
    <w:rsid w:val="001B23D0"/>
    <w:rsid w:val="001B2B36"/>
    <w:rsid w:val="001B3B27"/>
    <w:rsid w:val="001B42FA"/>
    <w:rsid w:val="001B4FE1"/>
    <w:rsid w:val="001B6DD8"/>
    <w:rsid w:val="001B7961"/>
    <w:rsid w:val="001C2EA5"/>
    <w:rsid w:val="001C33B5"/>
    <w:rsid w:val="001C3EF4"/>
    <w:rsid w:val="001C4735"/>
    <w:rsid w:val="001C53EF"/>
    <w:rsid w:val="001C55B8"/>
    <w:rsid w:val="001C6BF4"/>
    <w:rsid w:val="001C7510"/>
    <w:rsid w:val="001C7F48"/>
    <w:rsid w:val="001D022A"/>
    <w:rsid w:val="001D0467"/>
    <w:rsid w:val="001D053B"/>
    <w:rsid w:val="001D7448"/>
    <w:rsid w:val="001D746E"/>
    <w:rsid w:val="001E058E"/>
    <w:rsid w:val="001E0BD4"/>
    <w:rsid w:val="001E0D0D"/>
    <w:rsid w:val="001E10D6"/>
    <w:rsid w:val="001E11B1"/>
    <w:rsid w:val="001E2092"/>
    <w:rsid w:val="001E236E"/>
    <w:rsid w:val="001E5470"/>
    <w:rsid w:val="001E55B3"/>
    <w:rsid w:val="001E69E4"/>
    <w:rsid w:val="001E6A4B"/>
    <w:rsid w:val="001E708B"/>
    <w:rsid w:val="001E7255"/>
    <w:rsid w:val="001F14A2"/>
    <w:rsid w:val="001F1E7E"/>
    <w:rsid w:val="001F418F"/>
    <w:rsid w:val="001F6D5C"/>
    <w:rsid w:val="001F700D"/>
    <w:rsid w:val="001F7034"/>
    <w:rsid w:val="001F733F"/>
    <w:rsid w:val="00200720"/>
    <w:rsid w:val="00204D02"/>
    <w:rsid w:val="00210E9C"/>
    <w:rsid w:val="00211627"/>
    <w:rsid w:val="002116FE"/>
    <w:rsid w:val="00213877"/>
    <w:rsid w:val="00213BDB"/>
    <w:rsid w:val="002153E2"/>
    <w:rsid w:val="0021681C"/>
    <w:rsid w:val="00217238"/>
    <w:rsid w:val="00217BF3"/>
    <w:rsid w:val="00217C15"/>
    <w:rsid w:val="00220BDB"/>
    <w:rsid w:val="00221126"/>
    <w:rsid w:val="00221987"/>
    <w:rsid w:val="00221B2B"/>
    <w:rsid w:val="00223491"/>
    <w:rsid w:val="00223AFB"/>
    <w:rsid w:val="00225653"/>
    <w:rsid w:val="00227A62"/>
    <w:rsid w:val="00227AC4"/>
    <w:rsid w:val="00230EAE"/>
    <w:rsid w:val="00231324"/>
    <w:rsid w:val="00231F26"/>
    <w:rsid w:val="00232ED4"/>
    <w:rsid w:val="0023360D"/>
    <w:rsid w:val="002337CA"/>
    <w:rsid w:val="00233A87"/>
    <w:rsid w:val="00233D49"/>
    <w:rsid w:val="00233D82"/>
    <w:rsid w:val="0023404B"/>
    <w:rsid w:val="002348DD"/>
    <w:rsid w:val="00234AB0"/>
    <w:rsid w:val="00234B65"/>
    <w:rsid w:val="002354D3"/>
    <w:rsid w:val="00237BA8"/>
    <w:rsid w:val="002404DC"/>
    <w:rsid w:val="002404F7"/>
    <w:rsid w:val="00244C16"/>
    <w:rsid w:val="00244CF8"/>
    <w:rsid w:val="00245C3D"/>
    <w:rsid w:val="00250C5C"/>
    <w:rsid w:val="00251605"/>
    <w:rsid w:val="00256383"/>
    <w:rsid w:val="0025682E"/>
    <w:rsid w:val="00260D80"/>
    <w:rsid w:val="00260E13"/>
    <w:rsid w:val="002623AD"/>
    <w:rsid w:val="00262462"/>
    <w:rsid w:val="0026264B"/>
    <w:rsid w:val="00262AAC"/>
    <w:rsid w:val="00262CFA"/>
    <w:rsid w:val="00263743"/>
    <w:rsid w:val="00267571"/>
    <w:rsid w:val="00271D4C"/>
    <w:rsid w:val="00272D53"/>
    <w:rsid w:val="0027308F"/>
    <w:rsid w:val="00275947"/>
    <w:rsid w:val="00275D3D"/>
    <w:rsid w:val="00275F83"/>
    <w:rsid w:val="00276B03"/>
    <w:rsid w:val="0027750A"/>
    <w:rsid w:val="00280BAF"/>
    <w:rsid w:val="00282E65"/>
    <w:rsid w:val="00283DDB"/>
    <w:rsid w:val="00284086"/>
    <w:rsid w:val="00286173"/>
    <w:rsid w:val="00286541"/>
    <w:rsid w:val="002869DC"/>
    <w:rsid w:val="00286DEC"/>
    <w:rsid w:val="00294152"/>
    <w:rsid w:val="0029430E"/>
    <w:rsid w:val="00294D46"/>
    <w:rsid w:val="00297E1A"/>
    <w:rsid w:val="002A409A"/>
    <w:rsid w:val="002A41C3"/>
    <w:rsid w:val="002A4A4D"/>
    <w:rsid w:val="002A7775"/>
    <w:rsid w:val="002A7B24"/>
    <w:rsid w:val="002B2155"/>
    <w:rsid w:val="002B28B0"/>
    <w:rsid w:val="002B2AD7"/>
    <w:rsid w:val="002B583C"/>
    <w:rsid w:val="002B689E"/>
    <w:rsid w:val="002B7888"/>
    <w:rsid w:val="002C122C"/>
    <w:rsid w:val="002C129E"/>
    <w:rsid w:val="002C1C7F"/>
    <w:rsid w:val="002C3361"/>
    <w:rsid w:val="002C37C4"/>
    <w:rsid w:val="002C4610"/>
    <w:rsid w:val="002C5396"/>
    <w:rsid w:val="002C5621"/>
    <w:rsid w:val="002C66B0"/>
    <w:rsid w:val="002C6EEE"/>
    <w:rsid w:val="002D2045"/>
    <w:rsid w:val="002D2048"/>
    <w:rsid w:val="002D214D"/>
    <w:rsid w:val="002D3A08"/>
    <w:rsid w:val="002D3CFD"/>
    <w:rsid w:val="002D519D"/>
    <w:rsid w:val="002D63DE"/>
    <w:rsid w:val="002E20A6"/>
    <w:rsid w:val="002E2135"/>
    <w:rsid w:val="002E22BC"/>
    <w:rsid w:val="002E3777"/>
    <w:rsid w:val="002E3AFC"/>
    <w:rsid w:val="002E3BEE"/>
    <w:rsid w:val="002E5329"/>
    <w:rsid w:val="002E5723"/>
    <w:rsid w:val="002E5889"/>
    <w:rsid w:val="002E6018"/>
    <w:rsid w:val="002E6BA8"/>
    <w:rsid w:val="002E7997"/>
    <w:rsid w:val="002E7E37"/>
    <w:rsid w:val="002F01BF"/>
    <w:rsid w:val="002F0CE9"/>
    <w:rsid w:val="002F0EF7"/>
    <w:rsid w:val="002F1A5E"/>
    <w:rsid w:val="002F2645"/>
    <w:rsid w:val="002F36E2"/>
    <w:rsid w:val="002F4425"/>
    <w:rsid w:val="00300E1C"/>
    <w:rsid w:val="00302ADB"/>
    <w:rsid w:val="00302D6F"/>
    <w:rsid w:val="00302EF5"/>
    <w:rsid w:val="00303141"/>
    <w:rsid w:val="00303177"/>
    <w:rsid w:val="003034B1"/>
    <w:rsid w:val="00304361"/>
    <w:rsid w:val="00305061"/>
    <w:rsid w:val="0030581C"/>
    <w:rsid w:val="00305E5F"/>
    <w:rsid w:val="00306119"/>
    <w:rsid w:val="003101B0"/>
    <w:rsid w:val="00310F95"/>
    <w:rsid w:val="00312439"/>
    <w:rsid w:val="003127E6"/>
    <w:rsid w:val="00312E6E"/>
    <w:rsid w:val="00312FF3"/>
    <w:rsid w:val="003138A1"/>
    <w:rsid w:val="00315CB8"/>
    <w:rsid w:val="003179ED"/>
    <w:rsid w:val="00320940"/>
    <w:rsid w:val="00322480"/>
    <w:rsid w:val="00324260"/>
    <w:rsid w:val="00324785"/>
    <w:rsid w:val="00324938"/>
    <w:rsid w:val="00325BC3"/>
    <w:rsid w:val="003278FD"/>
    <w:rsid w:val="00330048"/>
    <w:rsid w:val="00331B3B"/>
    <w:rsid w:val="00332715"/>
    <w:rsid w:val="00332FEB"/>
    <w:rsid w:val="00333084"/>
    <w:rsid w:val="00333AB9"/>
    <w:rsid w:val="003357CA"/>
    <w:rsid w:val="00335C69"/>
    <w:rsid w:val="003456BD"/>
    <w:rsid w:val="00345C6D"/>
    <w:rsid w:val="0034765C"/>
    <w:rsid w:val="00347FEB"/>
    <w:rsid w:val="00351D39"/>
    <w:rsid w:val="003543EA"/>
    <w:rsid w:val="003545B2"/>
    <w:rsid w:val="003547E5"/>
    <w:rsid w:val="0035521E"/>
    <w:rsid w:val="00355320"/>
    <w:rsid w:val="00355C12"/>
    <w:rsid w:val="00356457"/>
    <w:rsid w:val="003569BD"/>
    <w:rsid w:val="00357FC9"/>
    <w:rsid w:val="00360054"/>
    <w:rsid w:val="0036044B"/>
    <w:rsid w:val="003605E7"/>
    <w:rsid w:val="0036135D"/>
    <w:rsid w:val="0036514B"/>
    <w:rsid w:val="00365A86"/>
    <w:rsid w:val="00365DE7"/>
    <w:rsid w:val="003668CF"/>
    <w:rsid w:val="00372839"/>
    <w:rsid w:val="00374EEB"/>
    <w:rsid w:val="0037559F"/>
    <w:rsid w:val="00375B28"/>
    <w:rsid w:val="0037675E"/>
    <w:rsid w:val="00377E94"/>
    <w:rsid w:val="00381090"/>
    <w:rsid w:val="00381CD7"/>
    <w:rsid w:val="00385668"/>
    <w:rsid w:val="00385BC3"/>
    <w:rsid w:val="003864F6"/>
    <w:rsid w:val="00390E31"/>
    <w:rsid w:val="00391737"/>
    <w:rsid w:val="00392CF0"/>
    <w:rsid w:val="0039344D"/>
    <w:rsid w:val="00393638"/>
    <w:rsid w:val="00396A04"/>
    <w:rsid w:val="00397570"/>
    <w:rsid w:val="003A3349"/>
    <w:rsid w:val="003A367D"/>
    <w:rsid w:val="003A4D1A"/>
    <w:rsid w:val="003A6698"/>
    <w:rsid w:val="003A6DD8"/>
    <w:rsid w:val="003A7570"/>
    <w:rsid w:val="003A7CA2"/>
    <w:rsid w:val="003A7CC0"/>
    <w:rsid w:val="003B02B3"/>
    <w:rsid w:val="003B0C77"/>
    <w:rsid w:val="003B2329"/>
    <w:rsid w:val="003B3A2C"/>
    <w:rsid w:val="003B3F0B"/>
    <w:rsid w:val="003B424D"/>
    <w:rsid w:val="003B68CD"/>
    <w:rsid w:val="003B6E10"/>
    <w:rsid w:val="003C0B34"/>
    <w:rsid w:val="003C1670"/>
    <w:rsid w:val="003C19BF"/>
    <w:rsid w:val="003C4D24"/>
    <w:rsid w:val="003C56CF"/>
    <w:rsid w:val="003C63A2"/>
    <w:rsid w:val="003C6B82"/>
    <w:rsid w:val="003C6D3A"/>
    <w:rsid w:val="003D092D"/>
    <w:rsid w:val="003D4A34"/>
    <w:rsid w:val="003D6235"/>
    <w:rsid w:val="003D7A5A"/>
    <w:rsid w:val="003E080A"/>
    <w:rsid w:val="003E0917"/>
    <w:rsid w:val="003E16B6"/>
    <w:rsid w:val="003E2EA8"/>
    <w:rsid w:val="003E358F"/>
    <w:rsid w:val="003E5FF2"/>
    <w:rsid w:val="003F046A"/>
    <w:rsid w:val="003F10F8"/>
    <w:rsid w:val="003F4EA4"/>
    <w:rsid w:val="003F5CF6"/>
    <w:rsid w:val="003F6ACA"/>
    <w:rsid w:val="003F7AF4"/>
    <w:rsid w:val="0040003B"/>
    <w:rsid w:val="004005AC"/>
    <w:rsid w:val="004007BE"/>
    <w:rsid w:val="00400E2D"/>
    <w:rsid w:val="00402A15"/>
    <w:rsid w:val="0040434F"/>
    <w:rsid w:val="00404EFF"/>
    <w:rsid w:val="00405F21"/>
    <w:rsid w:val="00406B07"/>
    <w:rsid w:val="00406FBE"/>
    <w:rsid w:val="0041039C"/>
    <w:rsid w:val="004162F1"/>
    <w:rsid w:val="0042197D"/>
    <w:rsid w:val="004248D9"/>
    <w:rsid w:val="00425D30"/>
    <w:rsid w:val="00426482"/>
    <w:rsid w:val="004268A6"/>
    <w:rsid w:val="00427CE2"/>
    <w:rsid w:val="00434D38"/>
    <w:rsid w:val="00434D7D"/>
    <w:rsid w:val="004353EE"/>
    <w:rsid w:val="00435F83"/>
    <w:rsid w:val="004360F6"/>
    <w:rsid w:val="004362A6"/>
    <w:rsid w:val="00440136"/>
    <w:rsid w:val="0044348E"/>
    <w:rsid w:val="004449A8"/>
    <w:rsid w:val="00445A50"/>
    <w:rsid w:val="00446A81"/>
    <w:rsid w:val="00446B21"/>
    <w:rsid w:val="00446C51"/>
    <w:rsid w:val="004472F0"/>
    <w:rsid w:val="004516D9"/>
    <w:rsid w:val="00453662"/>
    <w:rsid w:val="00454D72"/>
    <w:rsid w:val="004555DD"/>
    <w:rsid w:val="00455719"/>
    <w:rsid w:val="004561E9"/>
    <w:rsid w:val="004562CD"/>
    <w:rsid w:val="0045656F"/>
    <w:rsid w:val="00456611"/>
    <w:rsid w:val="00460CE3"/>
    <w:rsid w:val="00461DC3"/>
    <w:rsid w:val="0046279C"/>
    <w:rsid w:val="00462C37"/>
    <w:rsid w:val="00463434"/>
    <w:rsid w:val="00463E98"/>
    <w:rsid w:val="00464AED"/>
    <w:rsid w:val="0046568A"/>
    <w:rsid w:val="004665F4"/>
    <w:rsid w:val="00473382"/>
    <w:rsid w:val="00473DA2"/>
    <w:rsid w:val="00475C30"/>
    <w:rsid w:val="0047738F"/>
    <w:rsid w:val="00477DA1"/>
    <w:rsid w:val="004803F0"/>
    <w:rsid w:val="004806BE"/>
    <w:rsid w:val="00481A82"/>
    <w:rsid w:val="00481D93"/>
    <w:rsid w:val="00485942"/>
    <w:rsid w:val="00486DF5"/>
    <w:rsid w:val="00490610"/>
    <w:rsid w:val="00492D8F"/>
    <w:rsid w:val="00493464"/>
    <w:rsid w:val="004939DF"/>
    <w:rsid w:val="0049586B"/>
    <w:rsid w:val="00495918"/>
    <w:rsid w:val="00495B40"/>
    <w:rsid w:val="004A2289"/>
    <w:rsid w:val="004A26E1"/>
    <w:rsid w:val="004A39EE"/>
    <w:rsid w:val="004A51ED"/>
    <w:rsid w:val="004A5912"/>
    <w:rsid w:val="004A66B5"/>
    <w:rsid w:val="004A6FCC"/>
    <w:rsid w:val="004B13DF"/>
    <w:rsid w:val="004B1759"/>
    <w:rsid w:val="004B1ABD"/>
    <w:rsid w:val="004B23FC"/>
    <w:rsid w:val="004B254E"/>
    <w:rsid w:val="004B3C0A"/>
    <w:rsid w:val="004B3F38"/>
    <w:rsid w:val="004B53F9"/>
    <w:rsid w:val="004B64A6"/>
    <w:rsid w:val="004B7202"/>
    <w:rsid w:val="004B7CAD"/>
    <w:rsid w:val="004C0503"/>
    <w:rsid w:val="004C07F9"/>
    <w:rsid w:val="004C103A"/>
    <w:rsid w:val="004C1092"/>
    <w:rsid w:val="004C1338"/>
    <w:rsid w:val="004C7417"/>
    <w:rsid w:val="004D1B68"/>
    <w:rsid w:val="004D1FC0"/>
    <w:rsid w:val="004D210B"/>
    <w:rsid w:val="004D24D3"/>
    <w:rsid w:val="004D279E"/>
    <w:rsid w:val="004D27EE"/>
    <w:rsid w:val="004D434D"/>
    <w:rsid w:val="004D5BA3"/>
    <w:rsid w:val="004D6ABC"/>
    <w:rsid w:val="004E0E23"/>
    <w:rsid w:val="004E1034"/>
    <w:rsid w:val="004E13AF"/>
    <w:rsid w:val="004E2CA0"/>
    <w:rsid w:val="004E40FD"/>
    <w:rsid w:val="004E789F"/>
    <w:rsid w:val="004F0E4B"/>
    <w:rsid w:val="004F1FFD"/>
    <w:rsid w:val="004F49AA"/>
    <w:rsid w:val="004F521A"/>
    <w:rsid w:val="004F551E"/>
    <w:rsid w:val="005005B8"/>
    <w:rsid w:val="0050109F"/>
    <w:rsid w:val="00505AF3"/>
    <w:rsid w:val="005066F6"/>
    <w:rsid w:val="00510AE5"/>
    <w:rsid w:val="00515920"/>
    <w:rsid w:val="00515AD8"/>
    <w:rsid w:val="00515DE0"/>
    <w:rsid w:val="00520345"/>
    <w:rsid w:val="00520BE3"/>
    <w:rsid w:val="00520E32"/>
    <w:rsid w:val="00522A8B"/>
    <w:rsid w:val="0052442F"/>
    <w:rsid w:val="00524BB2"/>
    <w:rsid w:val="00527866"/>
    <w:rsid w:val="0053023A"/>
    <w:rsid w:val="00530AC8"/>
    <w:rsid w:val="0053145E"/>
    <w:rsid w:val="0053190B"/>
    <w:rsid w:val="005338D3"/>
    <w:rsid w:val="00533DD2"/>
    <w:rsid w:val="00533E19"/>
    <w:rsid w:val="0053559E"/>
    <w:rsid w:val="0053566B"/>
    <w:rsid w:val="00540381"/>
    <w:rsid w:val="00542411"/>
    <w:rsid w:val="00543A0A"/>
    <w:rsid w:val="005444AB"/>
    <w:rsid w:val="00546B5F"/>
    <w:rsid w:val="005514F5"/>
    <w:rsid w:val="005515E3"/>
    <w:rsid w:val="00552EB0"/>
    <w:rsid w:val="00554716"/>
    <w:rsid w:val="00555D3D"/>
    <w:rsid w:val="00561803"/>
    <w:rsid w:val="00562652"/>
    <w:rsid w:val="0056358F"/>
    <w:rsid w:val="005649C0"/>
    <w:rsid w:val="00565752"/>
    <w:rsid w:val="00566969"/>
    <w:rsid w:val="00566EBF"/>
    <w:rsid w:val="00567EA1"/>
    <w:rsid w:val="00571569"/>
    <w:rsid w:val="00575BCE"/>
    <w:rsid w:val="00575BE0"/>
    <w:rsid w:val="0057730A"/>
    <w:rsid w:val="00577623"/>
    <w:rsid w:val="0058155C"/>
    <w:rsid w:val="00582047"/>
    <w:rsid w:val="00583D6C"/>
    <w:rsid w:val="00584568"/>
    <w:rsid w:val="00584BC8"/>
    <w:rsid w:val="00586890"/>
    <w:rsid w:val="005879AE"/>
    <w:rsid w:val="00591469"/>
    <w:rsid w:val="005941B9"/>
    <w:rsid w:val="00595C2D"/>
    <w:rsid w:val="005966F6"/>
    <w:rsid w:val="0059789A"/>
    <w:rsid w:val="00597910"/>
    <w:rsid w:val="005A133E"/>
    <w:rsid w:val="005A13C5"/>
    <w:rsid w:val="005A1D6C"/>
    <w:rsid w:val="005A2F37"/>
    <w:rsid w:val="005A2FF2"/>
    <w:rsid w:val="005A47ED"/>
    <w:rsid w:val="005A506E"/>
    <w:rsid w:val="005A55A5"/>
    <w:rsid w:val="005A57E5"/>
    <w:rsid w:val="005A5A3E"/>
    <w:rsid w:val="005A5D29"/>
    <w:rsid w:val="005A7989"/>
    <w:rsid w:val="005B02AB"/>
    <w:rsid w:val="005B17BE"/>
    <w:rsid w:val="005B18ED"/>
    <w:rsid w:val="005B31F7"/>
    <w:rsid w:val="005B3992"/>
    <w:rsid w:val="005B3CAB"/>
    <w:rsid w:val="005B58FF"/>
    <w:rsid w:val="005B68C3"/>
    <w:rsid w:val="005B716F"/>
    <w:rsid w:val="005C1094"/>
    <w:rsid w:val="005C204E"/>
    <w:rsid w:val="005C22D6"/>
    <w:rsid w:val="005C2F53"/>
    <w:rsid w:val="005C5DD4"/>
    <w:rsid w:val="005D0029"/>
    <w:rsid w:val="005D05C7"/>
    <w:rsid w:val="005D1889"/>
    <w:rsid w:val="005D33F6"/>
    <w:rsid w:val="005D3847"/>
    <w:rsid w:val="005D4320"/>
    <w:rsid w:val="005D4B0F"/>
    <w:rsid w:val="005D4F6E"/>
    <w:rsid w:val="005D66B3"/>
    <w:rsid w:val="005D6B6E"/>
    <w:rsid w:val="005E06AA"/>
    <w:rsid w:val="005E0701"/>
    <w:rsid w:val="005E24DC"/>
    <w:rsid w:val="005E28B9"/>
    <w:rsid w:val="005E318B"/>
    <w:rsid w:val="005E34BD"/>
    <w:rsid w:val="005E494D"/>
    <w:rsid w:val="005E662E"/>
    <w:rsid w:val="005E6BD7"/>
    <w:rsid w:val="005E71B7"/>
    <w:rsid w:val="005F0EF5"/>
    <w:rsid w:val="005F1FEB"/>
    <w:rsid w:val="005F27A0"/>
    <w:rsid w:val="005F2815"/>
    <w:rsid w:val="005F3164"/>
    <w:rsid w:val="005F3CF4"/>
    <w:rsid w:val="005F6E40"/>
    <w:rsid w:val="00601913"/>
    <w:rsid w:val="00602C15"/>
    <w:rsid w:val="0060421A"/>
    <w:rsid w:val="00611340"/>
    <w:rsid w:val="00611644"/>
    <w:rsid w:val="0061330D"/>
    <w:rsid w:val="00615AA1"/>
    <w:rsid w:val="00615FE9"/>
    <w:rsid w:val="006174FC"/>
    <w:rsid w:val="0062007D"/>
    <w:rsid w:val="006234A3"/>
    <w:rsid w:val="00623B34"/>
    <w:rsid w:val="00624E3D"/>
    <w:rsid w:val="006259CC"/>
    <w:rsid w:val="00625D20"/>
    <w:rsid w:val="006308CD"/>
    <w:rsid w:val="006314DE"/>
    <w:rsid w:val="0063188E"/>
    <w:rsid w:val="00634816"/>
    <w:rsid w:val="00634CC1"/>
    <w:rsid w:val="00635197"/>
    <w:rsid w:val="0063636E"/>
    <w:rsid w:val="006363AA"/>
    <w:rsid w:val="0063758C"/>
    <w:rsid w:val="00637985"/>
    <w:rsid w:val="0064057C"/>
    <w:rsid w:val="00642FB2"/>
    <w:rsid w:val="00643DFD"/>
    <w:rsid w:val="0064474A"/>
    <w:rsid w:val="006449AD"/>
    <w:rsid w:val="00644A56"/>
    <w:rsid w:val="00644DAA"/>
    <w:rsid w:val="00645209"/>
    <w:rsid w:val="00646267"/>
    <w:rsid w:val="006467F1"/>
    <w:rsid w:val="00646A8A"/>
    <w:rsid w:val="00646ED5"/>
    <w:rsid w:val="00647401"/>
    <w:rsid w:val="0064777F"/>
    <w:rsid w:val="00647931"/>
    <w:rsid w:val="00647EFB"/>
    <w:rsid w:val="00650169"/>
    <w:rsid w:val="00652918"/>
    <w:rsid w:val="00652E1B"/>
    <w:rsid w:val="00652E45"/>
    <w:rsid w:val="00653348"/>
    <w:rsid w:val="00653F32"/>
    <w:rsid w:val="006556FA"/>
    <w:rsid w:val="00656BD4"/>
    <w:rsid w:val="00657250"/>
    <w:rsid w:val="006600DC"/>
    <w:rsid w:val="00660605"/>
    <w:rsid w:val="006622B7"/>
    <w:rsid w:val="00662E0D"/>
    <w:rsid w:val="0066383C"/>
    <w:rsid w:val="0066428B"/>
    <w:rsid w:val="00664C4E"/>
    <w:rsid w:val="00665BFE"/>
    <w:rsid w:val="00666F3D"/>
    <w:rsid w:val="006700D8"/>
    <w:rsid w:val="00670C79"/>
    <w:rsid w:val="00670DA7"/>
    <w:rsid w:val="00671536"/>
    <w:rsid w:val="0067280E"/>
    <w:rsid w:val="0067373F"/>
    <w:rsid w:val="006737CE"/>
    <w:rsid w:val="00674168"/>
    <w:rsid w:val="00674D58"/>
    <w:rsid w:val="00674E7A"/>
    <w:rsid w:val="0067569B"/>
    <w:rsid w:val="00677B92"/>
    <w:rsid w:val="00680184"/>
    <w:rsid w:val="00680196"/>
    <w:rsid w:val="006801F0"/>
    <w:rsid w:val="006803EA"/>
    <w:rsid w:val="006813E4"/>
    <w:rsid w:val="00683D39"/>
    <w:rsid w:val="00687A8C"/>
    <w:rsid w:val="00687FE8"/>
    <w:rsid w:val="0069177D"/>
    <w:rsid w:val="00693450"/>
    <w:rsid w:val="00695912"/>
    <w:rsid w:val="00696435"/>
    <w:rsid w:val="006964C3"/>
    <w:rsid w:val="00697897"/>
    <w:rsid w:val="00697C9C"/>
    <w:rsid w:val="006A20C6"/>
    <w:rsid w:val="006A53C9"/>
    <w:rsid w:val="006A66BB"/>
    <w:rsid w:val="006B0230"/>
    <w:rsid w:val="006B075E"/>
    <w:rsid w:val="006B0F3D"/>
    <w:rsid w:val="006B135C"/>
    <w:rsid w:val="006C15A1"/>
    <w:rsid w:val="006C1EBB"/>
    <w:rsid w:val="006C3986"/>
    <w:rsid w:val="006C492F"/>
    <w:rsid w:val="006C4F78"/>
    <w:rsid w:val="006C63AE"/>
    <w:rsid w:val="006C63C2"/>
    <w:rsid w:val="006C711B"/>
    <w:rsid w:val="006C71A4"/>
    <w:rsid w:val="006D07D6"/>
    <w:rsid w:val="006D09F8"/>
    <w:rsid w:val="006D2138"/>
    <w:rsid w:val="006D37D0"/>
    <w:rsid w:val="006D46B5"/>
    <w:rsid w:val="006D52AD"/>
    <w:rsid w:val="006E0378"/>
    <w:rsid w:val="006E1DDD"/>
    <w:rsid w:val="006E48E4"/>
    <w:rsid w:val="006E4FBF"/>
    <w:rsid w:val="006E6287"/>
    <w:rsid w:val="006E688B"/>
    <w:rsid w:val="006E718D"/>
    <w:rsid w:val="006E7C08"/>
    <w:rsid w:val="006F1F12"/>
    <w:rsid w:val="006F28C3"/>
    <w:rsid w:val="006F2A8A"/>
    <w:rsid w:val="006F2F9D"/>
    <w:rsid w:val="006F350D"/>
    <w:rsid w:val="006F4543"/>
    <w:rsid w:val="006F57C0"/>
    <w:rsid w:val="006F66B1"/>
    <w:rsid w:val="006F72EC"/>
    <w:rsid w:val="006F7D98"/>
    <w:rsid w:val="00700559"/>
    <w:rsid w:val="007022F9"/>
    <w:rsid w:val="0070275F"/>
    <w:rsid w:val="00703E3C"/>
    <w:rsid w:val="00704A0E"/>
    <w:rsid w:val="007050B8"/>
    <w:rsid w:val="00705F15"/>
    <w:rsid w:val="00707949"/>
    <w:rsid w:val="007118D7"/>
    <w:rsid w:val="00711E14"/>
    <w:rsid w:val="00712405"/>
    <w:rsid w:val="00713515"/>
    <w:rsid w:val="00720217"/>
    <w:rsid w:val="00720DEB"/>
    <w:rsid w:val="00721E13"/>
    <w:rsid w:val="0072345C"/>
    <w:rsid w:val="00723783"/>
    <w:rsid w:val="00723AC4"/>
    <w:rsid w:val="00723BA7"/>
    <w:rsid w:val="00723E83"/>
    <w:rsid w:val="0072479B"/>
    <w:rsid w:val="00724EF9"/>
    <w:rsid w:val="0072598F"/>
    <w:rsid w:val="00725A79"/>
    <w:rsid w:val="007263F0"/>
    <w:rsid w:val="00726D70"/>
    <w:rsid w:val="00727AF1"/>
    <w:rsid w:val="00727BB5"/>
    <w:rsid w:val="00727F76"/>
    <w:rsid w:val="0073043A"/>
    <w:rsid w:val="00730AD6"/>
    <w:rsid w:val="00730DF6"/>
    <w:rsid w:val="007314E7"/>
    <w:rsid w:val="00735154"/>
    <w:rsid w:val="007359E9"/>
    <w:rsid w:val="00736318"/>
    <w:rsid w:val="00741AA7"/>
    <w:rsid w:val="00742BEF"/>
    <w:rsid w:val="00742CE2"/>
    <w:rsid w:val="0074315A"/>
    <w:rsid w:val="007478F2"/>
    <w:rsid w:val="00752B06"/>
    <w:rsid w:val="00757DD1"/>
    <w:rsid w:val="00757F29"/>
    <w:rsid w:val="007600AE"/>
    <w:rsid w:val="00760C9F"/>
    <w:rsid w:val="0076289B"/>
    <w:rsid w:val="00763CC1"/>
    <w:rsid w:val="007640CC"/>
    <w:rsid w:val="007642C7"/>
    <w:rsid w:val="00764804"/>
    <w:rsid w:val="007678A9"/>
    <w:rsid w:val="00770E01"/>
    <w:rsid w:val="00771F93"/>
    <w:rsid w:val="00774611"/>
    <w:rsid w:val="0077582F"/>
    <w:rsid w:val="00775875"/>
    <w:rsid w:val="0078387C"/>
    <w:rsid w:val="0078437B"/>
    <w:rsid w:val="00784848"/>
    <w:rsid w:val="00784A78"/>
    <w:rsid w:val="00784C56"/>
    <w:rsid w:val="00785492"/>
    <w:rsid w:val="00786699"/>
    <w:rsid w:val="007872E4"/>
    <w:rsid w:val="00787457"/>
    <w:rsid w:val="007877BC"/>
    <w:rsid w:val="00787A65"/>
    <w:rsid w:val="007912A9"/>
    <w:rsid w:val="007928CE"/>
    <w:rsid w:val="00793B14"/>
    <w:rsid w:val="00794470"/>
    <w:rsid w:val="007949E0"/>
    <w:rsid w:val="00794A83"/>
    <w:rsid w:val="00794CB0"/>
    <w:rsid w:val="00795327"/>
    <w:rsid w:val="00795ECB"/>
    <w:rsid w:val="00797A35"/>
    <w:rsid w:val="007A092D"/>
    <w:rsid w:val="007A20E4"/>
    <w:rsid w:val="007A28A7"/>
    <w:rsid w:val="007A294C"/>
    <w:rsid w:val="007A355E"/>
    <w:rsid w:val="007A4087"/>
    <w:rsid w:val="007A506B"/>
    <w:rsid w:val="007A5914"/>
    <w:rsid w:val="007A5DF7"/>
    <w:rsid w:val="007B37F8"/>
    <w:rsid w:val="007B5C1D"/>
    <w:rsid w:val="007B66A7"/>
    <w:rsid w:val="007C16BF"/>
    <w:rsid w:val="007C1A8B"/>
    <w:rsid w:val="007C1C9B"/>
    <w:rsid w:val="007C358C"/>
    <w:rsid w:val="007C3CB1"/>
    <w:rsid w:val="007C44A6"/>
    <w:rsid w:val="007D1532"/>
    <w:rsid w:val="007D1FB4"/>
    <w:rsid w:val="007D26F6"/>
    <w:rsid w:val="007D383B"/>
    <w:rsid w:val="007D59C7"/>
    <w:rsid w:val="007D5B0F"/>
    <w:rsid w:val="007D6BE6"/>
    <w:rsid w:val="007E2B3E"/>
    <w:rsid w:val="007E2F46"/>
    <w:rsid w:val="007E315C"/>
    <w:rsid w:val="007E56C4"/>
    <w:rsid w:val="007E5BF4"/>
    <w:rsid w:val="007E6D8E"/>
    <w:rsid w:val="007E7000"/>
    <w:rsid w:val="007F14F5"/>
    <w:rsid w:val="007F7226"/>
    <w:rsid w:val="0080159B"/>
    <w:rsid w:val="008022C0"/>
    <w:rsid w:val="008041B9"/>
    <w:rsid w:val="008042E9"/>
    <w:rsid w:val="0080435E"/>
    <w:rsid w:val="00805594"/>
    <w:rsid w:val="0080633D"/>
    <w:rsid w:val="00806A0E"/>
    <w:rsid w:val="00810336"/>
    <w:rsid w:val="00812F1A"/>
    <w:rsid w:val="008147DC"/>
    <w:rsid w:val="00816500"/>
    <w:rsid w:val="00820027"/>
    <w:rsid w:val="008204EA"/>
    <w:rsid w:val="00820EC8"/>
    <w:rsid w:val="00821135"/>
    <w:rsid w:val="00821A2E"/>
    <w:rsid w:val="00821E21"/>
    <w:rsid w:val="00822951"/>
    <w:rsid w:val="00823B75"/>
    <w:rsid w:val="00823B92"/>
    <w:rsid w:val="00824077"/>
    <w:rsid w:val="00824F0E"/>
    <w:rsid w:val="008259E4"/>
    <w:rsid w:val="00826EED"/>
    <w:rsid w:val="00826F00"/>
    <w:rsid w:val="00830CBA"/>
    <w:rsid w:val="00831008"/>
    <w:rsid w:val="008311B3"/>
    <w:rsid w:val="00833990"/>
    <w:rsid w:val="008339F9"/>
    <w:rsid w:val="00833F5C"/>
    <w:rsid w:val="00834D8E"/>
    <w:rsid w:val="0083530C"/>
    <w:rsid w:val="00837BAB"/>
    <w:rsid w:val="00842DDA"/>
    <w:rsid w:val="00843606"/>
    <w:rsid w:val="008438F3"/>
    <w:rsid w:val="00843E24"/>
    <w:rsid w:val="008441CD"/>
    <w:rsid w:val="0084634B"/>
    <w:rsid w:val="0084657A"/>
    <w:rsid w:val="00847EA6"/>
    <w:rsid w:val="00850946"/>
    <w:rsid w:val="008522EF"/>
    <w:rsid w:val="008532C2"/>
    <w:rsid w:val="00854FEE"/>
    <w:rsid w:val="00857F6E"/>
    <w:rsid w:val="00861374"/>
    <w:rsid w:val="008619CE"/>
    <w:rsid w:val="00862B66"/>
    <w:rsid w:val="00864B16"/>
    <w:rsid w:val="008705E3"/>
    <w:rsid w:val="00870635"/>
    <w:rsid w:val="008712A0"/>
    <w:rsid w:val="0087248D"/>
    <w:rsid w:val="00873608"/>
    <w:rsid w:val="00873E3D"/>
    <w:rsid w:val="008752C0"/>
    <w:rsid w:val="00875BCB"/>
    <w:rsid w:val="00876521"/>
    <w:rsid w:val="00880D07"/>
    <w:rsid w:val="00881537"/>
    <w:rsid w:val="008825C0"/>
    <w:rsid w:val="00883375"/>
    <w:rsid w:val="008838DB"/>
    <w:rsid w:val="00884CA5"/>
    <w:rsid w:val="0088623E"/>
    <w:rsid w:val="008873F6"/>
    <w:rsid w:val="0089074E"/>
    <w:rsid w:val="008909A5"/>
    <w:rsid w:val="008909E5"/>
    <w:rsid w:val="00890D08"/>
    <w:rsid w:val="00894A0A"/>
    <w:rsid w:val="00894B05"/>
    <w:rsid w:val="008955BC"/>
    <w:rsid w:val="008965DD"/>
    <w:rsid w:val="008975E9"/>
    <w:rsid w:val="008A1CD6"/>
    <w:rsid w:val="008A2683"/>
    <w:rsid w:val="008A2707"/>
    <w:rsid w:val="008A2CEF"/>
    <w:rsid w:val="008A3EC9"/>
    <w:rsid w:val="008A44AD"/>
    <w:rsid w:val="008A45B5"/>
    <w:rsid w:val="008A4B30"/>
    <w:rsid w:val="008A5644"/>
    <w:rsid w:val="008A6377"/>
    <w:rsid w:val="008B186A"/>
    <w:rsid w:val="008B2AA3"/>
    <w:rsid w:val="008B33C1"/>
    <w:rsid w:val="008B4F8B"/>
    <w:rsid w:val="008B707D"/>
    <w:rsid w:val="008B7A75"/>
    <w:rsid w:val="008C1811"/>
    <w:rsid w:val="008C2535"/>
    <w:rsid w:val="008C2751"/>
    <w:rsid w:val="008C471E"/>
    <w:rsid w:val="008C6322"/>
    <w:rsid w:val="008C7047"/>
    <w:rsid w:val="008D050C"/>
    <w:rsid w:val="008D0751"/>
    <w:rsid w:val="008D3085"/>
    <w:rsid w:val="008D46C2"/>
    <w:rsid w:val="008D498E"/>
    <w:rsid w:val="008D4B12"/>
    <w:rsid w:val="008E14AF"/>
    <w:rsid w:val="008E1534"/>
    <w:rsid w:val="008E28F4"/>
    <w:rsid w:val="008E3D03"/>
    <w:rsid w:val="008E43D1"/>
    <w:rsid w:val="008E48D1"/>
    <w:rsid w:val="008E4E71"/>
    <w:rsid w:val="008E534F"/>
    <w:rsid w:val="008E56F8"/>
    <w:rsid w:val="008E5DAF"/>
    <w:rsid w:val="008E61EE"/>
    <w:rsid w:val="008E64CB"/>
    <w:rsid w:val="008F06E5"/>
    <w:rsid w:val="008F29CC"/>
    <w:rsid w:val="008F2D62"/>
    <w:rsid w:val="008F32CD"/>
    <w:rsid w:val="008F3303"/>
    <w:rsid w:val="008F35A0"/>
    <w:rsid w:val="008F41E3"/>
    <w:rsid w:val="008F4914"/>
    <w:rsid w:val="008F6907"/>
    <w:rsid w:val="008F7D4B"/>
    <w:rsid w:val="00900614"/>
    <w:rsid w:val="009009A6"/>
    <w:rsid w:val="00901A7B"/>
    <w:rsid w:val="0090277D"/>
    <w:rsid w:val="0090418B"/>
    <w:rsid w:val="00905E05"/>
    <w:rsid w:val="009064F7"/>
    <w:rsid w:val="009079AE"/>
    <w:rsid w:val="00907A27"/>
    <w:rsid w:val="00907A95"/>
    <w:rsid w:val="00907AEA"/>
    <w:rsid w:val="00910134"/>
    <w:rsid w:val="00910F06"/>
    <w:rsid w:val="00911BC0"/>
    <w:rsid w:val="00913C98"/>
    <w:rsid w:val="0091403A"/>
    <w:rsid w:val="00914A03"/>
    <w:rsid w:val="009158F1"/>
    <w:rsid w:val="00915DA8"/>
    <w:rsid w:val="00916869"/>
    <w:rsid w:val="00916B41"/>
    <w:rsid w:val="009176B0"/>
    <w:rsid w:val="0092117E"/>
    <w:rsid w:val="00922398"/>
    <w:rsid w:val="00923B3E"/>
    <w:rsid w:val="009240BF"/>
    <w:rsid w:val="0092515F"/>
    <w:rsid w:val="0092665F"/>
    <w:rsid w:val="00926ABC"/>
    <w:rsid w:val="009276B0"/>
    <w:rsid w:val="00931AF0"/>
    <w:rsid w:val="009359F1"/>
    <w:rsid w:val="00935C77"/>
    <w:rsid w:val="00935D53"/>
    <w:rsid w:val="00936CC4"/>
    <w:rsid w:val="00937743"/>
    <w:rsid w:val="009377E2"/>
    <w:rsid w:val="009377F0"/>
    <w:rsid w:val="009404CF"/>
    <w:rsid w:val="00944ABA"/>
    <w:rsid w:val="00947EA6"/>
    <w:rsid w:val="00953180"/>
    <w:rsid w:val="00954311"/>
    <w:rsid w:val="009545F6"/>
    <w:rsid w:val="00954B14"/>
    <w:rsid w:val="0095587D"/>
    <w:rsid w:val="00956192"/>
    <w:rsid w:val="009561EC"/>
    <w:rsid w:val="00961D3B"/>
    <w:rsid w:val="00964C63"/>
    <w:rsid w:val="00965DE3"/>
    <w:rsid w:val="0096680B"/>
    <w:rsid w:val="0096697E"/>
    <w:rsid w:val="00966D02"/>
    <w:rsid w:val="009678EA"/>
    <w:rsid w:val="009719A4"/>
    <w:rsid w:val="00972192"/>
    <w:rsid w:val="00973701"/>
    <w:rsid w:val="00973B5C"/>
    <w:rsid w:val="00973DEE"/>
    <w:rsid w:val="00975D69"/>
    <w:rsid w:val="00975D7D"/>
    <w:rsid w:val="00976515"/>
    <w:rsid w:val="00980148"/>
    <w:rsid w:val="00980800"/>
    <w:rsid w:val="00980CEB"/>
    <w:rsid w:val="009817E8"/>
    <w:rsid w:val="00981C86"/>
    <w:rsid w:val="00982B95"/>
    <w:rsid w:val="009833F1"/>
    <w:rsid w:val="00983417"/>
    <w:rsid w:val="00983CAC"/>
    <w:rsid w:val="00985AB5"/>
    <w:rsid w:val="00987A22"/>
    <w:rsid w:val="00990092"/>
    <w:rsid w:val="00990429"/>
    <w:rsid w:val="0099350E"/>
    <w:rsid w:val="00993C1B"/>
    <w:rsid w:val="00995A36"/>
    <w:rsid w:val="00996E8E"/>
    <w:rsid w:val="009A06A1"/>
    <w:rsid w:val="009A665B"/>
    <w:rsid w:val="009A6CC6"/>
    <w:rsid w:val="009A76F9"/>
    <w:rsid w:val="009A78E1"/>
    <w:rsid w:val="009B23EA"/>
    <w:rsid w:val="009B3290"/>
    <w:rsid w:val="009B381E"/>
    <w:rsid w:val="009B71DC"/>
    <w:rsid w:val="009C238D"/>
    <w:rsid w:val="009C25D9"/>
    <w:rsid w:val="009C2752"/>
    <w:rsid w:val="009C2B24"/>
    <w:rsid w:val="009C2D1E"/>
    <w:rsid w:val="009C44A4"/>
    <w:rsid w:val="009C5EAE"/>
    <w:rsid w:val="009C64DD"/>
    <w:rsid w:val="009C6624"/>
    <w:rsid w:val="009C70FA"/>
    <w:rsid w:val="009C7327"/>
    <w:rsid w:val="009D1BA6"/>
    <w:rsid w:val="009D4DAF"/>
    <w:rsid w:val="009D4F3B"/>
    <w:rsid w:val="009D5452"/>
    <w:rsid w:val="009D5A94"/>
    <w:rsid w:val="009D6969"/>
    <w:rsid w:val="009E07F3"/>
    <w:rsid w:val="009E1366"/>
    <w:rsid w:val="009E29C9"/>
    <w:rsid w:val="009E4949"/>
    <w:rsid w:val="009E5884"/>
    <w:rsid w:val="009E58ED"/>
    <w:rsid w:val="009E6374"/>
    <w:rsid w:val="009E63F1"/>
    <w:rsid w:val="009E6591"/>
    <w:rsid w:val="009F06B0"/>
    <w:rsid w:val="009F22AF"/>
    <w:rsid w:val="009F327C"/>
    <w:rsid w:val="009F366F"/>
    <w:rsid w:val="009F4CAE"/>
    <w:rsid w:val="009F54C3"/>
    <w:rsid w:val="009F6A6B"/>
    <w:rsid w:val="009F799C"/>
    <w:rsid w:val="00A00177"/>
    <w:rsid w:val="00A00346"/>
    <w:rsid w:val="00A05580"/>
    <w:rsid w:val="00A0637C"/>
    <w:rsid w:val="00A07A20"/>
    <w:rsid w:val="00A112E7"/>
    <w:rsid w:val="00A15022"/>
    <w:rsid w:val="00A17529"/>
    <w:rsid w:val="00A17682"/>
    <w:rsid w:val="00A20532"/>
    <w:rsid w:val="00A20814"/>
    <w:rsid w:val="00A20D72"/>
    <w:rsid w:val="00A2114C"/>
    <w:rsid w:val="00A225D0"/>
    <w:rsid w:val="00A24686"/>
    <w:rsid w:val="00A25593"/>
    <w:rsid w:val="00A27068"/>
    <w:rsid w:val="00A2708A"/>
    <w:rsid w:val="00A33926"/>
    <w:rsid w:val="00A34796"/>
    <w:rsid w:val="00A35590"/>
    <w:rsid w:val="00A401BA"/>
    <w:rsid w:val="00A4290C"/>
    <w:rsid w:val="00A42D45"/>
    <w:rsid w:val="00A44D23"/>
    <w:rsid w:val="00A45905"/>
    <w:rsid w:val="00A503B1"/>
    <w:rsid w:val="00A52229"/>
    <w:rsid w:val="00A54F6C"/>
    <w:rsid w:val="00A55703"/>
    <w:rsid w:val="00A56581"/>
    <w:rsid w:val="00A56AF1"/>
    <w:rsid w:val="00A574DC"/>
    <w:rsid w:val="00A60FAE"/>
    <w:rsid w:val="00A61B9E"/>
    <w:rsid w:val="00A63839"/>
    <w:rsid w:val="00A6445C"/>
    <w:rsid w:val="00A64E0E"/>
    <w:rsid w:val="00A66CEB"/>
    <w:rsid w:val="00A6751F"/>
    <w:rsid w:val="00A70147"/>
    <w:rsid w:val="00A73ACA"/>
    <w:rsid w:val="00A749BF"/>
    <w:rsid w:val="00A74CC6"/>
    <w:rsid w:val="00A75729"/>
    <w:rsid w:val="00A76B01"/>
    <w:rsid w:val="00A76DC3"/>
    <w:rsid w:val="00A775CA"/>
    <w:rsid w:val="00A77929"/>
    <w:rsid w:val="00A80E81"/>
    <w:rsid w:val="00A822B2"/>
    <w:rsid w:val="00A82648"/>
    <w:rsid w:val="00A82B71"/>
    <w:rsid w:val="00A83729"/>
    <w:rsid w:val="00A85D7B"/>
    <w:rsid w:val="00A87739"/>
    <w:rsid w:val="00A90503"/>
    <w:rsid w:val="00A93216"/>
    <w:rsid w:val="00A93F34"/>
    <w:rsid w:val="00A94B13"/>
    <w:rsid w:val="00A96C0B"/>
    <w:rsid w:val="00A96D1B"/>
    <w:rsid w:val="00A97519"/>
    <w:rsid w:val="00A979ED"/>
    <w:rsid w:val="00AA0BC7"/>
    <w:rsid w:val="00AA203D"/>
    <w:rsid w:val="00AA279E"/>
    <w:rsid w:val="00AA2D93"/>
    <w:rsid w:val="00AA37DC"/>
    <w:rsid w:val="00AA537E"/>
    <w:rsid w:val="00AA59A0"/>
    <w:rsid w:val="00AA6FD4"/>
    <w:rsid w:val="00AA7D7A"/>
    <w:rsid w:val="00AB0812"/>
    <w:rsid w:val="00AB2920"/>
    <w:rsid w:val="00AB385C"/>
    <w:rsid w:val="00AC0A94"/>
    <w:rsid w:val="00AC1A4B"/>
    <w:rsid w:val="00AC1E3C"/>
    <w:rsid w:val="00AC3642"/>
    <w:rsid w:val="00AC4CCD"/>
    <w:rsid w:val="00AC5A8E"/>
    <w:rsid w:val="00AD0126"/>
    <w:rsid w:val="00AD01C2"/>
    <w:rsid w:val="00AD0FCB"/>
    <w:rsid w:val="00AD159C"/>
    <w:rsid w:val="00AD1955"/>
    <w:rsid w:val="00AD320D"/>
    <w:rsid w:val="00AD4DD2"/>
    <w:rsid w:val="00AE0D66"/>
    <w:rsid w:val="00AE1333"/>
    <w:rsid w:val="00AE5AB3"/>
    <w:rsid w:val="00AE6CC7"/>
    <w:rsid w:val="00AE6FA7"/>
    <w:rsid w:val="00AE7035"/>
    <w:rsid w:val="00AE7757"/>
    <w:rsid w:val="00AF060E"/>
    <w:rsid w:val="00AF2D42"/>
    <w:rsid w:val="00AF4F24"/>
    <w:rsid w:val="00AF569A"/>
    <w:rsid w:val="00AF572D"/>
    <w:rsid w:val="00AF5EEF"/>
    <w:rsid w:val="00AF79CB"/>
    <w:rsid w:val="00AF7F1E"/>
    <w:rsid w:val="00B012CD"/>
    <w:rsid w:val="00B01639"/>
    <w:rsid w:val="00B03B71"/>
    <w:rsid w:val="00B07D81"/>
    <w:rsid w:val="00B15C71"/>
    <w:rsid w:val="00B166B5"/>
    <w:rsid w:val="00B174D2"/>
    <w:rsid w:val="00B216CF"/>
    <w:rsid w:val="00B21946"/>
    <w:rsid w:val="00B21A0F"/>
    <w:rsid w:val="00B22911"/>
    <w:rsid w:val="00B24680"/>
    <w:rsid w:val="00B246B4"/>
    <w:rsid w:val="00B262C8"/>
    <w:rsid w:val="00B26DB6"/>
    <w:rsid w:val="00B3015E"/>
    <w:rsid w:val="00B30D09"/>
    <w:rsid w:val="00B34382"/>
    <w:rsid w:val="00B34C51"/>
    <w:rsid w:val="00B3525C"/>
    <w:rsid w:val="00B36020"/>
    <w:rsid w:val="00B37313"/>
    <w:rsid w:val="00B3735E"/>
    <w:rsid w:val="00B41404"/>
    <w:rsid w:val="00B41EA1"/>
    <w:rsid w:val="00B42A83"/>
    <w:rsid w:val="00B452A3"/>
    <w:rsid w:val="00B4537B"/>
    <w:rsid w:val="00B464E7"/>
    <w:rsid w:val="00B46951"/>
    <w:rsid w:val="00B505F9"/>
    <w:rsid w:val="00B50E2D"/>
    <w:rsid w:val="00B510BF"/>
    <w:rsid w:val="00B523ED"/>
    <w:rsid w:val="00B5244A"/>
    <w:rsid w:val="00B531AB"/>
    <w:rsid w:val="00B53C34"/>
    <w:rsid w:val="00B56764"/>
    <w:rsid w:val="00B651E4"/>
    <w:rsid w:val="00B65791"/>
    <w:rsid w:val="00B66A36"/>
    <w:rsid w:val="00B72438"/>
    <w:rsid w:val="00B72BAB"/>
    <w:rsid w:val="00B74559"/>
    <w:rsid w:val="00B76557"/>
    <w:rsid w:val="00B802F6"/>
    <w:rsid w:val="00B85489"/>
    <w:rsid w:val="00B87179"/>
    <w:rsid w:val="00B9048A"/>
    <w:rsid w:val="00B906E1"/>
    <w:rsid w:val="00B90F09"/>
    <w:rsid w:val="00B93B50"/>
    <w:rsid w:val="00B951FF"/>
    <w:rsid w:val="00B978E4"/>
    <w:rsid w:val="00BA000A"/>
    <w:rsid w:val="00BA0F40"/>
    <w:rsid w:val="00BA118B"/>
    <w:rsid w:val="00BA12B3"/>
    <w:rsid w:val="00BA1894"/>
    <w:rsid w:val="00BA328B"/>
    <w:rsid w:val="00BA3D5F"/>
    <w:rsid w:val="00BA47F0"/>
    <w:rsid w:val="00BA4E0F"/>
    <w:rsid w:val="00BA4F6A"/>
    <w:rsid w:val="00BB0782"/>
    <w:rsid w:val="00BB0DE5"/>
    <w:rsid w:val="00BB1C7E"/>
    <w:rsid w:val="00BB2E04"/>
    <w:rsid w:val="00BB3000"/>
    <w:rsid w:val="00BB34E3"/>
    <w:rsid w:val="00BB4704"/>
    <w:rsid w:val="00BB5721"/>
    <w:rsid w:val="00BB69DB"/>
    <w:rsid w:val="00BB6F82"/>
    <w:rsid w:val="00BC2BA2"/>
    <w:rsid w:val="00BC2ED4"/>
    <w:rsid w:val="00BC36B3"/>
    <w:rsid w:val="00BC6BCA"/>
    <w:rsid w:val="00BD0693"/>
    <w:rsid w:val="00BD08E5"/>
    <w:rsid w:val="00BD0CA8"/>
    <w:rsid w:val="00BD0CCE"/>
    <w:rsid w:val="00BD0F2D"/>
    <w:rsid w:val="00BD1014"/>
    <w:rsid w:val="00BD396E"/>
    <w:rsid w:val="00BD4914"/>
    <w:rsid w:val="00BD55B7"/>
    <w:rsid w:val="00BD659A"/>
    <w:rsid w:val="00BD7AF5"/>
    <w:rsid w:val="00BD7F12"/>
    <w:rsid w:val="00BE0572"/>
    <w:rsid w:val="00BE0F0E"/>
    <w:rsid w:val="00BE20C3"/>
    <w:rsid w:val="00BE2331"/>
    <w:rsid w:val="00BE470D"/>
    <w:rsid w:val="00BE4A53"/>
    <w:rsid w:val="00BE7875"/>
    <w:rsid w:val="00BF0642"/>
    <w:rsid w:val="00BF1223"/>
    <w:rsid w:val="00BF1569"/>
    <w:rsid w:val="00BF21B1"/>
    <w:rsid w:val="00BF29AC"/>
    <w:rsid w:val="00BF4912"/>
    <w:rsid w:val="00BF4B8F"/>
    <w:rsid w:val="00C000FD"/>
    <w:rsid w:val="00C005BC"/>
    <w:rsid w:val="00C01DF1"/>
    <w:rsid w:val="00C04D83"/>
    <w:rsid w:val="00C0763F"/>
    <w:rsid w:val="00C1070D"/>
    <w:rsid w:val="00C10B3B"/>
    <w:rsid w:val="00C11ECE"/>
    <w:rsid w:val="00C129DE"/>
    <w:rsid w:val="00C13AE9"/>
    <w:rsid w:val="00C150BB"/>
    <w:rsid w:val="00C16B79"/>
    <w:rsid w:val="00C2099E"/>
    <w:rsid w:val="00C224C0"/>
    <w:rsid w:val="00C22816"/>
    <w:rsid w:val="00C23CF0"/>
    <w:rsid w:val="00C249F4"/>
    <w:rsid w:val="00C26C10"/>
    <w:rsid w:val="00C31272"/>
    <w:rsid w:val="00C31BB5"/>
    <w:rsid w:val="00C34562"/>
    <w:rsid w:val="00C369F9"/>
    <w:rsid w:val="00C37613"/>
    <w:rsid w:val="00C47AA5"/>
    <w:rsid w:val="00C50DB5"/>
    <w:rsid w:val="00C51826"/>
    <w:rsid w:val="00C525CD"/>
    <w:rsid w:val="00C52A04"/>
    <w:rsid w:val="00C52F58"/>
    <w:rsid w:val="00C539C5"/>
    <w:rsid w:val="00C5468F"/>
    <w:rsid w:val="00C551BE"/>
    <w:rsid w:val="00C55F9D"/>
    <w:rsid w:val="00C57805"/>
    <w:rsid w:val="00C579A7"/>
    <w:rsid w:val="00C579D5"/>
    <w:rsid w:val="00C57FF1"/>
    <w:rsid w:val="00C60145"/>
    <w:rsid w:val="00C607A9"/>
    <w:rsid w:val="00C60818"/>
    <w:rsid w:val="00C60836"/>
    <w:rsid w:val="00C60B49"/>
    <w:rsid w:val="00C61564"/>
    <w:rsid w:val="00C6168E"/>
    <w:rsid w:val="00C62223"/>
    <w:rsid w:val="00C63544"/>
    <w:rsid w:val="00C715BD"/>
    <w:rsid w:val="00C7228F"/>
    <w:rsid w:val="00C73384"/>
    <w:rsid w:val="00C76128"/>
    <w:rsid w:val="00C82776"/>
    <w:rsid w:val="00C8303E"/>
    <w:rsid w:val="00C832CA"/>
    <w:rsid w:val="00C83C7F"/>
    <w:rsid w:val="00C84EC9"/>
    <w:rsid w:val="00C85731"/>
    <w:rsid w:val="00C8685C"/>
    <w:rsid w:val="00C87826"/>
    <w:rsid w:val="00C900B9"/>
    <w:rsid w:val="00C9066A"/>
    <w:rsid w:val="00C90AE0"/>
    <w:rsid w:val="00C926AE"/>
    <w:rsid w:val="00C9400D"/>
    <w:rsid w:val="00C9595A"/>
    <w:rsid w:val="00CA0628"/>
    <w:rsid w:val="00CA0FE5"/>
    <w:rsid w:val="00CA1B3B"/>
    <w:rsid w:val="00CA560E"/>
    <w:rsid w:val="00CA5CC9"/>
    <w:rsid w:val="00CA723F"/>
    <w:rsid w:val="00CB09CE"/>
    <w:rsid w:val="00CB1B1A"/>
    <w:rsid w:val="00CB2A6E"/>
    <w:rsid w:val="00CB6C17"/>
    <w:rsid w:val="00CB7304"/>
    <w:rsid w:val="00CB78C4"/>
    <w:rsid w:val="00CC0897"/>
    <w:rsid w:val="00CC1CB4"/>
    <w:rsid w:val="00CC3478"/>
    <w:rsid w:val="00CC7D0A"/>
    <w:rsid w:val="00CD02AB"/>
    <w:rsid w:val="00CD13F8"/>
    <w:rsid w:val="00CD24AA"/>
    <w:rsid w:val="00CD28D5"/>
    <w:rsid w:val="00CD2EA0"/>
    <w:rsid w:val="00CD330F"/>
    <w:rsid w:val="00CD4123"/>
    <w:rsid w:val="00CD6788"/>
    <w:rsid w:val="00CD681E"/>
    <w:rsid w:val="00CD6AB9"/>
    <w:rsid w:val="00CE11F6"/>
    <w:rsid w:val="00CE2716"/>
    <w:rsid w:val="00CE2DFA"/>
    <w:rsid w:val="00CE2F2A"/>
    <w:rsid w:val="00CE461E"/>
    <w:rsid w:val="00CE699E"/>
    <w:rsid w:val="00CE7B3A"/>
    <w:rsid w:val="00CF00D7"/>
    <w:rsid w:val="00CF01F6"/>
    <w:rsid w:val="00CF2C6A"/>
    <w:rsid w:val="00CF488B"/>
    <w:rsid w:val="00CF5CDF"/>
    <w:rsid w:val="00CF6C5C"/>
    <w:rsid w:val="00CF6DC4"/>
    <w:rsid w:val="00CF76B3"/>
    <w:rsid w:val="00CF77BF"/>
    <w:rsid w:val="00CF7D07"/>
    <w:rsid w:val="00D00BE7"/>
    <w:rsid w:val="00D00E94"/>
    <w:rsid w:val="00D03109"/>
    <w:rsid w:val="00D03A53"/>
    <w:rsid w:val="00D04219"/>
    <w:rsid w:val="00D042B9"/>
    <w:rsid w:val="00D06595"/>
    <w:rsid w:val="00D075C8"/>
    <w:rsid w:val="00D100AF"/>
    <w:rsid w:val="00D100F6"/>
    <w:rsid w:val="00D11056"/>
    <w:rsid w:val="00D11A4B"/>
    <w:rsid w:val="00D14823"/>
    <w:rsid w:val="00D17BFC"/>
    <w:rsid w:val="00D2139F"/>
    <w:rsid w:val="00D21F05"/>
    <w:rsid w:val="00D24521"/>
    <w:rsid w:val="00D250E4"/>
    <w:rsid w:val="00D270E9"/>
    <w:rsid w:val="00D27C6F"/>
    <w:rsid w:val="00D30B06"/>
    <w:rsid w:val="00D30B66"/>
    <w:rsid w:val="00D31842"/>
    <w:rsid w:val="00D31C14"/>
    <w:rsid w:val="00D3210F"/>
    <w:rsid w:val="00D35098"/>
    <w:rsid w:val="00D36F00"/>
    <w:rsid w:val="00D40A25"/>
    <w:rsid w:val="00D42F42"/>
    <w:rsid w:val="00D43767"/>
    <w:rsid w:val="00D4461C"/>
    <w:rsid w:val="00D46A7F"/>
    <w:rsid w:val="00D478F6"/>
    <w:rsid w:val="00D501A1"/>
    <w:rsid w:val="00D52251"/>
    <w:rsid w:val="00D60512"/>
    <w:rsid w:val="00D60B36"/>
    <w:rsid w:val="00D61D54"/>
    <w:rsid w:val="00D631B5"/>
    <w:rsid w:val="00D634C9"/>
    <w:rsid w:val="00D63CCB"/>
    <w:rsid w:val="00D65446"/>
    <w:rsid w:val="00D65E59"/>
    <w:rsid w:val="00D67480"/>
    <w:rsid w:val="00D7055A"/>
    <w:rsid w:val="00D70A75"/>
    <w:rsid w:val="00D72A31"/>
    <w:rsid w:val="00D73D1F"/>
    <w:rsid w:val="00D74494"/>
    <w:rsid w:val="00D7465B"/>
    <w:rsid w:val="00D8203D"/>
    <w:rsid w:val="00D85741"/>
    <w:rsid w:val="00D903E2"/>
    <w:rsid w:val="00D9055C"/>
    <w:rsid w:val="00D90A45"/>
    <w:rsid w:val="00D90C50"/>
    <w:rsid w:val="00D91372"/>
    <w:rsid w:val="00D92F9F"/>
    <w:rsid w:val="00D93260"/>
    <w:rsid w:val="00D934F0"/>
    <w:rsid w:val="00D94754"/>
    <w:rsid w:val="00D94C5D"/>
    <w:rsid w:val="00D95E2C"/>
    <w:rsid w:val="00D977EB"/>
    <w:rsid w:val="00DA3DF4"/>
    <w:rsid w:val="00DA48DA"/>
    <w:rsid w:val="00DA6976"/>
    <w:rsid w:val="00DA7ECA"/>
    <w:rsid w:val="00DB0169"/>
    <w:rsid w:val="00DB02E7"/>
    <w:rsid w:val="00DB0AC3"/>
    <w:rsid w:val="00DB1085"/>
    <w:rsid w:val="00DB19FF"/>
    <w:rsid w:val="00DB1F3F"/>
    <w:rsid w:val="00DB2168"/>
    <w:rsid w:val="00DB2200"/>
    <w:rsid w:val="00DB31BA"/>
    <w:rsid w:val="00DB400F"/>
    <w:rsid w:val="00DB41EA"/>
    <w:rsid w:val="00DB456B"/>
    <w:rsid w:val="00DB67FA"/>
    <w:rsid w:val="00DB6D2A"/>
    <w:rsid w:val="00DB6E4E"/>
    <w:rsid w:val="00DB715E"/>
    <w:rsid w:val="00DB71DB"/>
    <w:rsid w:val="00DC2152"/>
    <w:rsid w:val="00DC6060"/>
    <w:rsid w:val="00DC611C"/>
    <w:rsid w:val="00DC663A"/>
    <w:rsid w:val="00DC7E22"/>
    <w:rsid w:val="00DD0632"/>
    <w:rsid w:val="00DD0A0F"/>
    <w:rsid w:val="00DD2A09"/>
    <w:rsid w:val="00DD31EE"/>
    <w:rsid w:val="00DD3713"/>
    <w:rsid w:val="00DD39A0"/>
    <w:rsid w:val="00DD3B2B"/>
    <w:rsid w:val="00DD3CB9"/>
    <w:rsid w:val="00DD55D5"/>
    <w:rsid w:val="00DD590B"/>
    <w:rsid w:val="00DD5C2B"/>
    <w:rsid w:val="00DD6D36"/>
    <w:rsid w:val="00DE07CB"/>
    <w:rsid w:val="00DE12BA"/>
    <w:rsid w:val="00DE16B5"/>
    <w:rsid w:val="00DE7345"/>
    <w:rsid w:val="00DF043F"/>
    <w:rsid w:val="00DF253B"/>
    <w:rsid w:val="00DF278B"/>
    <w:rsid w:val="00DF3D29"/>
    <w:rsid w:val="00DF6EFD"/>
    <w:rsid w:val="00DF742C"/>
    <w:rsid w:val="00DF7938"/>
    <w:rsid w:val="00E000E2"/>
    <w:rsid w:val="00E004DB"/>
    <w:rsid w:val="00E005C1"/>
    <w:rsid w:val="00E01B3E"/>
    <w:rsid w:val="00E01C97"/>
    <w:rsid w:val="00E020B4"/>
    <w:rsid w:val="00E028C6"/>
    <w:rsid w:val="00E07299"/>
    <w:rsid w:val="00E10987"/>
    <w:rsid w:val="00E10E9F"/>
    <w:rsid w:val="00E12162"/>
    <w:rsid w:val="00E1237D"/>
    <w:rsid w:val="00E1246C"/>
    <w:rsid w:val="00E15335"/>
    <w:rsid w:val="00E15FE2"/>
    <w:rsid w:val="00E17A0A"/>
    <w:rsid w:val="00E20973"/>
    <w:rsid w:val="00E20EAD"/>
    <w:rsid w:val="00E2114F"/>
    <w:rsid w:val="00E231B5"/>
    <w:rsid w:val="00E24638"/>
    <w:rsid w:val="00E26138"/>
    <w:rsid w:val="00E27D5F"/>
    <w:rsid w:val="00E32F77"/>
    <w:rsid w:val="00E33F31"/>
    <w:rsid w:val="00E36653"/>
    <w:rsid w:val="00E370ED"/>
    <w:rsid w:val="00E373EB"/>
    <w:rsid w:val="00E37B03"/>
    <w:rsid w:val="00E41838"/>
    <w:rsid w:val="00E429CC"/>
    <w:rsid w:val="00E43703"/>
    <w:rsid w:val="00E44A2E"/>
    <w:rsid w:val="00E456B9"/>
    <w:rsid w:val="00E50064"/>
    <w:rsid w:val="00E51892"/>
    <w:rsid w:val="00E51C99"/>
    <w:rsid w:val="00E5267F"/>
    <w:rsid w:val="00E52E82"/>
    <w:rsid w:val="00E541DB"/>
    <w:rsid w:val="00E54F18"/>
    <w:rsid w:val="00E60E89"/>
    <w:rsid w:val="00E61936"/>
    <w:rsid w:val="00E62BA0"/>
    <w:rsid w:val="00E64002"/>
    <w:rsid w:val="00E65069"/>
    <w:rsid w:val="00E6615D"/>
    <w:rsid w:val="00E661DA"/>
    <w:rsid w:val="00E666A2"/>
    <w:rsid w:val="00E676F8"/>
    <w:rsid w:val="00E6795C"/>
    <w:rsid w:val="00E70CBD"/>
    <w:rsid w:val="00E70FF3"/>
    <w:rsid w:val="00E723B5"/>
    <w:rsid w:val="00E72D9D"/>
    <w:rsid w:val="00E73A92"/>
    <w:rsid w:val="00E760AA"/>
    <w:rsid w:val="00E775D3"/>
    <w:rsid w:val="00E806D4"/>
    <w:rsid w:val="00E827E8"/>
    <w:rsid w:val="00E832F5"/>
    <w:rsid w:val="00E84143"/>
    <w:rsid w:val="00E85FC6"/>
    <w:rsid w:val="00E86D1B"/>
    <w:rsid w:val="00E87382"/>
    <w:rsid w:val="00E87DB5"/>
    <w:rsid w:val="00E9615B"/>
    <w:rsid w:val="00E963FB"/>
    <w:rsid w:val="00E975A8"/>
    <w:rsid w:val="00EA0275"/>
    <w:rsid w:val="00EA29A3"/>
    <w:rsid w:val="00EA543D"/>
    <w:rsid w:val="00EA71B1"/>
    <w:rsid w:val="00EB025B"/>
    <w:rsid w:val="00EB198B"/>
    <w:rsid w:val="00EB2240"/>
    <w:rsid w:val="00EB38EF"/>
    <w:rsid w:val="00EB44C1"/>
    <w:rsid w:val="00EC15BB"/>
    <w:rsid w:val="00EC161A"/>
    <w:rsid w:val="00EC4E93"/>
    <w:rsid w:val="00EC6E0D"/>
    <w:rsid w:val="00ED006E"/>
    <w:rsid w:val="00ED0802"/>
    <w:rsid w:val="00ED1EAF"/>
    <w:rsid w:val="00ED3AA9"/>
    <w:rsid w:val="00ED4506"/>
    <w:rsid w:val="00ED5D29"/>
    <w:rsid w:val="00ED6EE3"/>
    <w:rsid w:val="00ED6F01"/>
    <w:rsid w:val="00EE1F28"/>
    <w:rsid w:val="00EE46DE"/>
    <w:rsid w:val="00EE7541"/>
    <w:rsid w:val="00EE79AE"/>
    <w:rsid w:val="00EF067B"/>
    <w:rsid w:val="00EF0CD0"/>
    <w:rsid w:val="00EF284D"/>
    <w:rsid w:val="00EF2A2C"/>
    <w:rsid w:val="00EF30E5"/>
    <w:rsid w:val="00EF4272"/>
    <w:rsid w:val="00EF5746"/>
    <w:rsid w:val="00EF587D"/>
    <w:rsid w:val="00EF7506"/>
    <w:rsid w:val="00EF7A51"/>
    <w:rsid w:val="00EF7E66"/>
    <w:rsid w:val="00F0098C"/>
    <w:rsid w:val="00F0158B"/>
    <w:rsid w:val="00F02266"/>
    <w:rsid w:val="00F03628"/>
    <w:rsid w:val="00F03B6D"/>
    <w:rsid w:val="00F06D25"/>
    <w:rsid w:val="00F11E9E"/>
    <w:rsid w:val="00F1504E"/>
    <w:rsid w:val="00F1512E"/>
    <w:rsid w:val="00F163EA"/>
    <w:rsid w:val="00F16F6F"/>
    <w:rsid w:val="00F206EA"/>
    <w:rsid w:val="00F232DE"/>
    <w:rsid w:val="00F24977"/>
    <w:rsid w:val="00F24B2C"/>
    <w:rsid w:val="00F26279"/>
    <w:rsid w:val="00F2705F"/>
    <w:rsid w:val="00F27C6C"/>
    <w:rsid w:val="00F33924"/>
    <w:rsid w:val="00F33BDF"/>
    <w:rsid w:val="00F3755A"/>
    <w:rsid w:val="00F37A62"/>
    <w:rsid w:val="00F4129B"/>
    <w:rsid w:val="00F43AF9"/>
    <w:rsid w:val="00F43F47"/>
    <w:rsid w:val="00F45473"/>
    <w:rsid w:val="00F45A78"/>
    <w:rsid w:val="00F468B8"/>
    <w:rsid w:val="00F470C3"/>
    <w:rsid w:val="00F4799C"/>
    <w:rsid w:val="00F51A9F"/>
    <w:rsid w:val="00F52D4D"/>
    <w:rsid w:val="00F52E60"/>
    <w:rsid w:val="00F537FA"/>
    <w:rsid w:val="00F54A25"/>
    <w:rsid w:val="00F618F1"/>
    <w:rsid w:val="00F62A1B"/>
    <w:rsid w:val="00F650D3"/>
    <w:rsid w:val="00F6643C"/>
    <w:rsid w:val="00F7024F"/>
    <w:rsid w:val="00F72189"/>
    <w:rsid w:val="00F73219"/>
    <w:rsid w:val="00F73667"/>
    <w:rsid w:val="00F73D39"/>
    <w:rsid w:val="00F7454F"/>
    <w:rsid w:val="00F7637B"/>
    <w:rsid w:val="00F76BCF"/>
    <w:rsid w:val="00F77CF6"/>
    <w:rsid w:val="00F8178C"/>
    <w:rsid w:val="00F8335E"/>
    <w:rsid w:val="00F86559"/>
    <w:rsid w:val="00F87C10"/>
    <w:rsid w:val="00F91E8F"/>
    <w:rsid w:val="00F92280"/>
    <w:rsid w:val="00F92799"/>
    <w:rsid w:val="00F941F9"/>
    <w:rsid w:val="00F94397"/>
    <w:rsid w:val="00F943CE"/>
    <w:rsid w:val="00F9478D"/>
    <w:rsid w:val="00FA062B"/>
    <w:rsid w:val="00FA0D5C"/>
    <w:rsid w:val="00FA1077"/>
    <w:rsid w:val="00FA21AA"/>
    <w:rsid w:val="00FA47DC"/>
    <w:rsid w:val="00FA4AB8"/>
    <w:rsid w:val="00FA6179"/>
    <w:rsid w:val="00FA66DE"/>
    <w:rsid w:val="00FA6C94"/>
    <w:rsid w:val="00FA7CB6"/>
    <w:rsid w:val="00FB071A"/>
    <w:rsid w:val="00FB1A16"/>
    <w:rsid w:val="00FB1A1C"/>
    <w:rsid w:val="00FB2692"/>
    <w:rsid w:val="00FB45DC"/>
    <w:rsid w:val="00FB5FAE"/>
    <w:rsid w:val="00FB676B"/>
    <w:rsid w:val="00FB743A"/>
    <w:rsid w:val="00FB75B2"/>
    <w:rsid w:val="00FB7FC4"/>
    <w:rsid w:val="00FC0303"/>
    <w:rsid w:val="00FC072A"/>
    <w:rsid w:val="00FC1267"/>
    <w:rsid w:val="00FC28C3"/>
    <w:rsid w:val="00FC430A"/>
    <w:rsid w:val="00FC5120"/>
    <w:rsid w:val="00FC5961"/>
    <w:rsid w:val="00FC5F3D"/>
    <w:rsid w:val="00FC61BC"/>
    <w:rsid w:val="00FC7510"/>
    <w:rsid w:val="00FD0D95"/>
    <w:rsid w:val="00FD3526"/>
    <w:rsid w:val="00FD395E"/>
    <w:rsid w:val="00FD5713"/>
    <w:rsid w:val="00FD6CF0"/>
    <w:rsid w:val="00FD7CF9"/>
    <w:rsid w:val="00FE0185"/>
    <w:rsid w:val="00FE0911"/>
    <w:rsid w:val="00FE0DFF"/>
    <w:rsid w:val="00FE39A9"/>
    <w:rsid w:val="00FE4B86"/>
    <w:rsid w:val="00FE6A77"/>
    <w:rsid w:val="00FF1D41"/>
    <w:rsid w:val="00FF2CC0"/>
    <w:rsid w:val="00FF2F4B"/>
    <w:rsid w:val="00FF4EC4"/>
    <w:rsid w:val="00FF7CAB"/>
    <w:rsid w:val="00FF7D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uiPriority w:val="10"/>
    <w:qFormat/>
    <w:rsid w:val="00670C79"/>
    <w:pPr>
      <w:spacing w:line="360" w:lineRule="auto"/>
      <w:jc w:val="center"/>
    </w:pPr>
    <w:rPr>
      <w:b/>
      <w:sz w:val="32"/>
      <w:szCs w:val="32"/>
    </w:rPr>
  </w:style>
  <w:style w:type="character" w:customStyle="1" w:styleId="TitleChar">
    <w:name w:val="Title Char"/>
    <w:basedOn w:val="DefaultParagraphFont"/>
    <w:link w:val="Title"/>
    <w:uiPriority w:val="10"/>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nhideWhenUsed/>
    <w:rsid w:val="00CE7B3A"/>
    <w:rPr>
      <w:sz w:val="20"/>
      <w:szCs w:val="20"/>
    </w:rPr>
  </w:style>
  <w:style w:type="character" w:customStyle="1" w:styleId="CommentTextChar">
    <w:name w:val="Comment Text Char"/>
    <w:basedOn w:val="DefaultParagraphFont"/>
    <w:link w:val="CommentText"/>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99"/>
    <w:qFormat/>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qFormat/>
    <w:rsid w:val="00406B07"/>
    <w:pPr>
      <w:autoSpaceDE w:val="0"/>
      <w:autoSpaceDN w:val="0"/>
      <w:adjustRightInd w:val="0"/>
      <w:spacing w:after="0" w:line="240" w:lineRule="auto"/>
    </w:pPr>
    <w:rPr>
      <w:rFonts w:ascii="EUAlbertina" w:hAnsi="EUAlbertina" w:cs="EUAlbertina"/>
      <w:color w:val="000000"/>
      <w:sz w:val="24"/>
      <w:szCs w:val="24"/>
    </w:rPr>
  </w:style>
  <w:style w:type="paragraph" w:styleId="NormalWeb">
    <w:name w:val="Normal (Web)"/>
    <w:basedOn w:val="Normal"/>
    <w:uiPriority w:val="99"/>
    <w:unhideWhenUsed/>
    <w:rsid w:val="005B3CAB"/>
    <w:pPr>
      <w:spacing w:before="100" w:beforeAutospacing="1" w:after="100" w:afterAutospacing="1"/>
    </w:pPr>
    <w:rPr>
      <w:lang w:eastAsia="ro-RO"/>
    </w:rPr>
  </w:style>
  <w:style w:type="paragraph" w:styleId="BodyText">
    <w:name w:val="Body Text"/>
    <w:aliases w:val="AvtalBrödtext,ändrad,Bodytext,AvtalBrodtext,andrad,EHPT,Body Text2,Body3,compact,paragraph 2,body indent,Response,- TF,Requirements,Body Text level 1,à¹×éÍàÃ×èÍ§,Compliance,code,à¹"/>
    <w:basedOn w:val="Normal"/>
    <w:link w:val="BodyTextChar"/>
    <w:rsid w:val="009545F6"/>
    <w:pPr>
      <w:spacing w:after="120"/>
    </w:pPr>
    <w:rPr>
      <w:lang w:val="x-none" w:eastAsia="x-none"/>
    </w:rPr>
  </w:style>
  <w:style w:type="character" w:customStyle="1" w:styleId="BodyTextChar">
    <w:name w:val="Body Text Char"/>
    <w:aliases w:val="AvtalBrödtext Char,ändrad Char,Bodytext Char,AvtalBrodtext Char,andrad Char,EHPT Char,Body Text2 Char,Body3 Char,compact Char,paragraph 2 Char,body indent Char,Response Char,- TF Char,Requirements Char,Body Text level 1 Char,code Char"/>
    <w:basedOn w:val="DefaultParagraphFont"/>
    <w:link w:val="BodyText"/>
    <w:rsid w:val="009545F6"/>
    <w:rPr>
      <w:rFonts w:ascii="Times New Roman" w:eastAsia="Times New Roman" w:hAnsi="Times New Roman" w:cs="Times New Roman"/>
      <w:sz w:val="24"/>
      <w:szCs w:val="24"/>
      <w:lang w:val="x-none" w:eastAsia="x-none"/>
    </w:rPr>
  </w:style>
  <w:style w:type="paragraph" w:styleId="FootnoteText">
    <w:name w:val="footnote text"/>
    <w:aliases w:val="Podrozdział,Footnote,Footnote Text Char Char,Fußnote,single space,footnote text,FOOTNOTES,fn,fn Char Char Char,fn Char Char,fn Char,Fußnote Char Char Char,Fußnote Char,Fußnote Char Char Char Char,Footnote text"/>
    <w:basedOn w:val="Normal"/>
    <w:link w:val="FootnoteTextChar"/>
    <w:qFormat/>
    <w:rsid w:val="009545F6"/>
    <w:rPr>
      <w:sz w:val="20"/>
      <w:szCs w:val="20"/>
      <w:lang w:val="en-GB"/>
    </w:rPr>
  </w:style>
  <w:style w:type="character" w:customStyle="1" w:styleId="FootnoteTextChar">
    <w:name w:val="Footnote Text Char"/>
    <w:aliases w:val="Podrozdział Char,Footnote Char,Footnote Text Char Char Char,Fußnote Char1,single space Char,footnote text Char,FOOTNOTES Char,fn Char1,fn Char Char Char Char,fn Char Char Char1,fn Char Char1,Fußnote Char Char Char Char1"/>
    <w:basedOn w:val="DefaultParagraphFont"/>
    <w:link w:val="FootnoteText"/>
    <w:rsid w:val="009545F6"/>
    <w:rPr>
      <w:rFonts w:ascii="Times New Roman" w:eastAsia="Times New Roman" w:hAnsi="Times New Roman" w:cs="Times New Roman"/>
      <w:sz w:val="20"/>
      <w:szCs w:val="20"/>
      <w:lang w:val="en-GB"/>
    </w:rPr>
  </w:style>
  <w:style w:type="character" w:styleId="FootnoteReference">
    <w:name w:val="footnote reference"/>
    <w:aliases w:val="SUPERS Char1 Char1 Char Char Char Car Char, BVI fnr Char1 Char Char Char Char Car Char,BVI fnr Char1 Char Char Char Char Car Char,Footnote symbol Char1 Char Char Char Char Car Char"/>
    <w:link w:val="SUPERSChar1Char1CharCharCharCar"/>
    <w:uiPriority w:val="99"/>
    <w:rsid w:val="009545F6"/>
    <w:rPr>
      <w:vertAlign w:val="superscript"/>
    </w:rPr>
  </w:style>
  <w:style w:type="paragraph" w:customStyle="1" w:styleId="SUPERSChar1Char1CharCharCharCar">
    <w:name w:val="SUPERS Char1 Char1 Char Char Char Car"/>
    <w:aliases w:val=" BVI fnr Char1 Char Char Char Char Car,BVI fnr Char1 Char Char Char Char Car,Footnote symbol Char1 Char Char Char Char Car,numar nota subsol Char1 Char Char Char Char Car,E Car"/>
    <w:basedOn w:val="Normal"/>
    <w:next w:val="Normal"/>
    <w:link w:val="FootnoteReference"/>
    <w:uiPriority w:val="99"/>
    <w:rsid w:val="009545F6"/>
    <w:pPr>
      <w:spacing w:after="160" w:line="240" w:lineRule="exact"/>
    </w:pPr>
    <w:rPr>
      <w:rFonts w:asciiTheme="minorHAnsi" w:eastAsiaTheme="minorHAnsi" w:hAnsiTheme="minorHAnsi" w:cstheme="minorBidi"/>
      <w:sz w:val="22"/>
      <w:szCs w:val="22"/>
      <w:vertAlign w:val="superscript"/>
      <w:lang w:val="en-US"/>
    </w:rPr>
  </w:style>
  <w:style w:type="character" w:customStyle="1" w:styleId="ListaCifreRomaneChar">
    <w:name w:val="Lista Cifre Romane Char"/>
    <w:link w:val="ListaCifreRomane"/>
    <w:locked/>
    <w:rsid w:val="009545F6"/>
    <w:rPr>
      <w:sz w:val="24"/>
      <w:szCs w:val="24"/>
      <w:lang w:val="ro-RO"/>
    </w:rPr>
  </w:style>
  <w:style w:type="paragraph" w:customStyle="1" w:styleId="ListaCifreRomane">
    <w:name w:val="Lista Cifre Romane"/>
    <w:basedOn w:val="Normal"/>
    <w:link w:val="ListaCifreRomaneChar"/>
    <w:qFormat/>
    <w:rsid w:val="009545F6"/>
    <w:pPr>
      <w:numPr>
        <w:numId w:val="17"/>
      </w:numPr>
      <w:spacing w:after="120" w:line="360" w:lineRule="auto"/>
      <w:ind w:left="924" w:hanging="357"/>
      <w:jc w:val="both"/>
    </w:pPr>
    <w:rPr>
      <w:rFonts w:asciiTheme="minorHAnsi" w:eastAsiaTheme="minorHAnsi" w:hAnsiTheme="minorHAnsi" w:cstheme="minorBidi"/>
    </w:rPr>
  </w:style>
  <w:style w:type="character" w:customStyle="1" w:styleId="ListaAChar">
    <w:name w:val="Lista A Char"/>
    <w:link w:val="ListaA"/>
    <w:locked/>
    <w:rsid w:val="009545F6"/>
    <w:rPr>
      <w:sz w:val="24"/>
      <w:szCs w:val="24"/>
      <w:lang w:val="ro-RO"/>
    </w:rPr>
  </w:style>
  <w:style w:type="paragraph" w:customStyle="1" w:styleId="ListaA">
    <w:name w:val="Lista A"/>
    <w:basedOn w:val="Normal"/>
    <w:link w:val="ListaAChar"/>
    <w:qFormat/>
    <w:rsid w:val="009545F6"/>
    <w:pPr>
      <w:numPr>
        <w:ilvl w:val="1"/>
        <w:numId w:val="19"/>
      </w:numPr>
      <w:spacing w:after="120" w:line="360" w:lineRule="auto"/>
      <w:jc w:val="both"/>
    </w:pPr>
    <w:rPr>
      <w:rFonts w:asciiTheme="minorHAnsi" w:eastAsiaTheme="minorHAnsi" w:hAnsiTheme="minorHAnsi" w:cstheme="minorBidi"/>
    </w:rPr>
  </w:style>
  <w:style w:type="paragraph" w:customStyle="1" w:styleId="al">
    <w:name w:val="a_l"/>
    <w:basedOn w:val="Normal"/>
    <w:rsid w:val="006C15A1"/>
    <w:pPr>
      <w:spacing w:before="100" w:beforeAutospacing="1" w:after="100" w:afterAutospacing="1"/>
    </w:pPr>
    <w:rPr>
      <w:lang w:eastAsia="ro-RO"/>
    </w:rPr>
  </w:style>
  <w:style w:type="character" w:customStyle="1" w:styleId="spar">
    <w:name w:val="s_par"/>
    <w:basedOn w:val="DefaultParagraphFont"/>
    <w:rsid w:val="00FF7D28"/>
  </w:style>
  <w:style w:type="character" w:customStyle="1" w:styleId="slitbdy">
    <w:name w:val="s_lit_bdy"/>
    <w:basedOn w:val="DefaultParagraphFont"/>
    <w:rsid w:val="006700D8"/>
  </w:style>
  <w:style w:type="character" w:customStyle="1" w:styleId="y2iqfc">
    <w:name w:val="y2iqfc"/>
    <w:basedOn w:val="DefaultParagraphFont"/>
    <w:rsid w:val="009C64DD"/>
  </w:style>
  <w:style w:type="character" w:customStyle="1" w:styleId="ssmnpar">
    <w:name w:val="s_smn_par"/>
    <w:basedOn w:val="DefaultParagraphFont"/>
    <w:rsid w:val="00B46951"/>
  </w:style>
  <w:style w:type="character" w:customStyle="1" w:styleId="sden1">
    <w:name w:val="s_den1"/>
    <w:basedOn w:val="DefaultParagraphFont"/>
    <w:rsid w:val="00A2114C"/>
    <w:rPr>
      <w:rFonts w:ascii="Verdana" w:hAnsi="Verdana" w:hint="default"/>
      <w:b/>
      <w:bCs/>
      <w:vanish w:val="0"/>
      <w:webHidden w:val="0"/>
      <w:color w:val="8B0000"/>
      <w:sz w:val="30"/>
      <w:szCs w:val="30"/>
      <w:shd w:val="clear" w:color="auto" w:fill="FFFFFF"/>
      <w:specVanish w:val="0"/>
    </w:rPr>
  </w:style>
  <w:style w:type="paragraph" w:customStyle="1" w:styleId="sden">
    <w:name w:val="s_den"/>
    <w:basedOn w:val="Normal"/>
    <w:rsid w:val="00E373EB"/>
    <w:pPr>
      <w:spacing w:before="100" w:beforeAutospacing="1" w:after="100" w:afterAutospacing="1"/>
    </w:pPr>
    <w:rPr>
      <w:lang w:val="en-GB" w:eastAsia="en-GB"/>
    </w:rPr>
  </w:style>
  <w:style w:type="paragraph" w:customStyle="1" w:styleId="shdr">
    <w:name w:val="s_hdr"/>
    <w:basedOn w:val="Normal"/>
    <w:rsid w:val="00E373EB"/>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694506467">
      <w:bodyDiv w:val="1"/>
      <w:marLeft w:val="0"/>
      <w:marRight w:val="0"/>
      <w:marTop w:val="0"/>
      <w:marBottom w:val="0"/>
      <w:divBdr>
        <w:top w:val="none" w:sz="0" w:space="0" w:color="auto"/>
        <w:left w:val="none" w:sz="0" w:space="0" w:color="auto"/>
        <w:bottom w:val="none" w:sz="0" w:space="0" w:color="auto"/>
        <w:right w:val="none" w:sz="0" w:space="0" w:color="auto"/>
      </w:divBdr>
      <w:divsChild>
        <w:div w:id="136580618">
          <w:marLeft w:val="0"/>
          <w:marRight w:val="0"/>
          <w:marTop w:val="0"/>
          <w:marBottom w:val="0"/>
          <w:divBdr>
            <w:top w:val="none" w:sz="0" w:space="0" w:color="auto"/>
            <w:left w:val="none" w:sz="0" w:space="0" w:color="auto"/>
            <w:bottom w:val="none" w:sz="0" w:space="0" w:color="auto"/>
            <w:right w:val="none" w:sz="0" w:space="0" w:color="auto"/>
          </w:divBdr>
        </w:div>
      </w:divsChild>
    </w:div>
    <w:div w:id="714738191">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741685243">
      <w:bodyDiv w:val="1"/>
      <w:marLeft w:val="0"/>
      <w:marRight w:val="0"/>
      <w:marTop w:val="0"/>
      <w:marBottom w:val="0"/>
      <w:divBdr>
        <w:top w:val="none" w:sz="0" w:space="0" w:color="auto"/>
        <w:left w:val="none" w:sz="0" w:space="0" w:color="auto"/>
        <w:bottom w:val="none" w:sz="0" w:space="0" w:color="auto"/>
        <w:right w:val="none" w:sz="0" w:space="0" w:color="auto"/>
      </w:divBdr>
      <w:divsChild>
        <w:div w:id="1267420860">
          <w:marLeft w:val="0"/>
          <w:marRight w:val="0"/>
          <w:marTop w:val="0"/>
          <w:marBottom w:val="0"/>
          <w:divBdr>
            <w:top w:val="none" w:sz="0" w:space="0" w:color="auto"/>
            <w:left w:val="none" w:sz="0" w:space="0" w:color="auto"/>
            <w:bottom w:val="none" w:sz="0" w:space="0" w:color="auto"/>
            <w:right w:val="none" w:sz="0" w:space="0" w:color="auto"/>
          </w:divBdr>
        </w:div>
      </w:divsChild>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953707327">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09464030">
      <w:bodyDiv w:val="1"/>
      <w:marLeft w:val="0"/>
      <w:marRight w:val="0"/>
      <w:marTop w:val="0"/>
      <w:marBottom w:val="0"/>
      <w:divBdr>
        <w:top w:val="none" w:sz="0" w:space="0" w:color="auto"/>
        <w:left w:val="none" w:sz="0" w:space="0" w:color="auto"/>
        <w:bottom w:val="none" w:sz="0" w:space="0" w:color="auto"/>
        <w:right w:val="none" w:sz="0" w:space="0" w:color="auto"/>
      </w:divBdr>
      <w:divsChild>
        <w:div w:id="885020344">
          <w:marLeft w:val="0"/>
          <w:marRight w:val="0"/>
          <w:marTop w:val="0"/>
          <w:marBottom w:val="0"/>
          <w:divBdr>
            <w:top w:val="none" w:sz="0" w:space="0" w:color="auto"/>
            <w:left w:val="none" w:sz="0" w:space="0" w:color="auto"/>
            <w:bottom w:val="none" w:sz="0" w:space="0" w:color="auto"/>
            <w:right w:val="none" w:sz="0" w:space="0" w:color="auto"/>
          </w:divBdr>
        </w:div>
      </w:divsChild>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66026707">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eurolegis\ro\index\act\61930" TargetMode="External"/><Relationship Id="rId13" Type="http://schemas.openxmlformats.org/officeDocument/2006/relationships/hyperlink" Target="file:///C:\eurolegis\ro\index\act\62287" TargetMode="External"/><Relationship Id="rId18" Type="http://schemas.openxmlformats.org/officeDocument/2006/relationships/hyperlink" Target="file:///C:\eurolegis\ro\index\act\46514"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file:///C:\eurolegis\ro\index\act\62285" TargetMode="External"/><Relationship Id="rId17" Type="http://schemas.openxmlformats.org/officeDocument/2006/relationships/hyperlink" Target="file:///C:\eurolegis\ro\index\act\62801" TargetMode="External"/><Relationship Id="rId2" Type="http://schemas.openxmlformats.org/officeDocument/2006/relationships/numbering" Target="numbering.xml"/><Relationship Id="rId16" Type="http://schemas.openxmlformats.org/officeDocument/2006/relationships/hyperlink" Target="file:///C:\eurolegis\ro\index\act\62289" TargetMode="External"/><Relationship Id="rId20" Type="http://schemas.openxmlformats.org/officeDocument/2006/relationships/hyperlink" Target="file:///C:\eurolegis\ro\index\act\762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eurolegis\ro\index\act\6391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eurolegis\ro\index\act\62290" TargetMode="External"/><Relationship Id="rId23" Type="http://schemas.openxmlformats.org/officeDocument/2006/relationships/fontTable" Target="fontTable.xml"/><Relationship Id="rId10" Type="http://schemas.openxmlformats.org/officeDocument/2006/relationships/hyperlink" Target="file:///C:\eurolegis\ro\index\act\62204" TargetMode="External"/><Relationship Id="rId19" Type="http://schemas.openxmlformats.org/officeDocument/2006/relationships/hyperlink" Target="file:///C:\eurolegis\ro\index\act\75356" TargetMode="External"/><Relationship Id="rId4" Type="http://schemas.openxmlformats.org/officeDocument/2006/relationships/settings" Target="settings.xml"/><Relationship Id="rId9" Type="http://schemas.openxmlformats.org/officeDocument/2006/relationships/hyperlink" Target="file:///C:\eurolegis\ro\index\act\62288" TargetMode="External"/><Relationship Id="rId14" Type="http://schemas.openxmlformats.org/officeDocument/2006/relationships/hyperlink" Target="file:///C:\eurolegis\ro\index\act\62286"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06EC4-02C4-4AF0-A415-901436C3C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7913</Words>
  <Characters>45105</Characters>
  <Application>Microsoft Office Word</Application>
  <DocSecurity>0</DocSecurity>
  <Lines>375</Lines>
  <Paragraphs>105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IULIANA-MIHAELA CERNAZEANU</dc:creator>
  <cp:lastModifiedBy>Consuela</cp:lastModifiedBy>
  <cp:revision>3</cp:revision>
  <cp:lastPrinted>2022-08-09T07:37:00Z</cp:lastPrinted>
  <dcterms:created xsi:type="dcterms:W3CDTF">2023-05-02T16:49:00Z</dcterms:created>
  <dcterms:modified xsi:type="dcterms:W3CDTF">2023-05-02T16:56:00Z</dcterms:modified>
</cp:coreProperties>
</file>